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376164">
      <w:pPr>
        <w:pStyle w:val="12"/>
        <w:spacing w:before="0" w:beforeAutospacing="0" w:after="0" w:afterAutospacing="0" w:line="550" w:lineRule="exact"/>
        <w:ind w:firstLine="560" w:firstLineChars="200"/>
        <w:jc w:val="both"/>
        <w:rPr>
          <w:rFonts w:ascii="黑体" w:hAnsi="黑体" w:eastAsia="黑体" w:cs="黑体"/>
          <w:sz w:val="28"/>
          <w:szCs w:val="28"/>
        </w:rPr>
      </w:pPr>
      <w:r>
        <w:rPr>
          <w:rFonts w:hint="eastAsia" w:ascii="黑体" w:hAnsi="黑体" w:eastAsia="黑体" w:cs="黑体"/>
          <w:sz w:val="28"/>
          <w:szCs w:val="28"/>
        </w:rPr>
        <w:t>一、项目基本情况</w:t>
      </w:r>
    </w:p>
    <w:p w14:paraId="0EC9C6A4">
      <w:pPr>
        <w:pStyle w:val="12"/>
        <w:spacing w:before="0" w:beforeAutospacing="0" w:after="0" w:afterAutospacing="0" w:line="550" w:lineRule="exact"/>
        <w:ind w:firstLine="560" w:firstLineChars="200"/>
        <w:jc w:val="both"/>
        <w:rPr>
          <w:rFonts w:ascii="仿宋" w:hAnsi="仿宋" w:eastAsia="仿宋" w:cs="仿宋"/>
          <w:sz w:val="28"/>
          <w:szCs w:val="28"/>
          <w:highlight w:val="yellow"/>
        </w:rPr>
      </w:pPr>
      <w:r>
        <w:rPr>
          <w:rFonts w:hint="eastAsia" w:ascii="仿宋" w:hAnsi="仿宋" w:eastAsia="仿宋" w:cs="仿宋"/>
          <w:sz w:val="28"/>
          <w:szCs w:val="28"/>
          <w:highlight w:val="yellow"/>
        </w:rPr>
        <w:t>项目编号：</w:t>
      </w:r>
    </w:p>
    <w:p w14:paraId="085DB2E5">
      <w:pPr>
        <w:pStyle w:val="12"/>
        <w:spacing w:before="0" w:beforeAutospacing="0" w:after="0" w:afterAutospacing="0" w:line="550" w:lineRule="exact"/>
        <w:ind w:firstLine="560" w:firstLineChars="200"/>
        <w:jc w:val="both"/>
        <w:rPr>
          <w:rFonts w:hint="default" w:ascii="仿宋_GB2312" w:hAnsi="仿宋_GB2312" w:eastAsia="仿宋_GB2312" w:cs="仿宋_GB2312"/>
          <w:i w:val="0"/>
          <w:iCs w:val="0"/>
          <w:caps w:val="0"/>
          <w:color w:val="232323"/>
          <w:spacing w:val="0"/>
          <w:sz w:val="32"/>
          <w:szCs w:val="32"/>
          <w:highlight w:val="green"/>
          <w:shd w:val="clear" w:fill="FFFFFF"/>
          <w:lang w:val="en-US"/>
        </w:rPr>
      </w:pPr>
      <w:r>
        <w:rPr>
          <w:rFonts w:hint="eastAsia" w:ascii="仿宋" w:hAnsi="仿宋" w:eastAsia="仿宋" w:cs="仿宋"/>
          <w:sz w:val="28"/>
          <w:szCs w:val="28"/>
        </w:rPr>
        <w:t>项目名称：</w:t>
      </w:r>
      <w:r>
        <w:rPr>
          <w:rFonts w:hint="eastAsia" w:ascii="仿宋" w:hAnsi="仿宋" w:eastAsia="仿宋" w:cs="仿宋"/>
          <w:sz w:val="28"/>
          <w:szCs w:val="28"/>
          <w:highlight w:val="green"/>
          <w:lang w:val="en-US" w:eastAsia="zh-CN"/>
        </w:rPr>
        <w:t>1.</w:t>
      </w:r>
      <w:r>
        <w:rPr>
          <w:rFonts w:hint="eastAsia" w:ascii="仿宋_GB2312" w:hAnsi="仿宋_GB2312" w:eastAsia="仿宋_GB2312" w:cs="仿宋_GB2312"/>
          <w:i w:val="0"/>
          <w:iCs w:val="0"/>
          <w:caps w:val="0"/>
          <w:color w:val="232323"/>
          <w:spacing w:val="0"/>
          <w:sz w:val="32"/>
          <w:szCs w:val="32"/>
          <w:highlight w:val="green"/>
          <w:shd w:val="clear" w:fill="FFFFFF"/>
        </w:rPr>
        <w:t>宣城市疾控中心核酸检测试剂耗材采购项目</w:t>
      </w:r>
      <w:r>
        <w:rPr>
          <w:rFonts w:hint="default" w:ascii="仿宋_GB2312" w:hAnsi="仿宋_GB2312" w:eastAsia="仿宋_GB2312" w:cs="仿宋_GB2312"/>
          <w:i w:val="0"/>
          <w:iCs w:val="0"/>
          <w:caps w:val="0"/>
          <w:color w:val="232323"/>
          <w:spacing w:val="0"/>
          <w:sz w:val="32"/>
          <w:szCs w:val="32"/>
          <w:highlight w:val="green"/>
          <w:shd w:val="clear" w:fill="FFFFFF"/>
          <w:lang w:val="en-US"/>
        </w:rPr>
        <w:t xml:space="preserve"> </w:t>
      </w:r>
    </w:p>
    <w:p w14:paraId="67500D68">
      <w:pPr>
        <w:pStyle w:val="12"/>
        <w:numPr>
          <w:ilvl w:val="0"/>
          <w:numId w:val="1"/>
        </w:numPr>
        <w:spacing w:before="0" w:beforeAutospacing="0" w:after="0" w:afterAutospacing="0" w:line="550" w:lineRule="exact"/>
        <w:ind w:firstLine="640" w:firstLineChars="200"/>
        <w:jc w:val="both"/>
        <w:rPr>
          <w:rFonts w:hint="eastAsia" w:ascii="仿宋_GB2312" w:hAnsi="仿宋_GB2312" w:eastAsia="仿宋_GB2312" w:cs="仿宋_GB2312"/>
          <w:i w:val="0"/>
          <w:iCs w:val="0"/>
          <w:caps w:val="0"/>
          <w:color w:val="232323"/>
          <w:spacing w:val="0"/>
          <w:sz w:val="32"/>
          <w:szCs w:val="32"/>
          <w:highlight w:val="green"/>
          <w:shd w:val="clear" w:fill="FFFFFF"/>
        </w:rPr>
      </w:pPr>
      <w:r>
        <w:rPr>
          <w:rFonts w:hint="eastAsia" w:ascii="仿宋_GB2312" w:hAnsi="仿宋_GB2312" w:eastAsia="仿宋_GB2312" w:cs="仿宋_GB2312"/>
          <w:i w:val="0"/>
          <w:iCs w:val="0"/>
          <w:caps w:val="0"/>
          <w:color w:val="232323"/>
          <w:spacing w:val="0"/>
          <w:sz w:val="32"/>
          <w:szCs w:val="32"/>
          <w:highlight w:val="green"/>
          <w:shd w:val="clear" w:fill="FFFFFF"/>
        </w:rPr>
        <w:t>宣城市疾控中心基因测序试剂耗材采购项目</w:t>
      </w:r>
    </w:p>
    <w:p w14:paraId="2F88F485">
      <w:pPr>
        <w:pStyle w:val="12"/>
        <w:numPr>
          <w:ilvl w:val="0"/>
          <w:numId w:val="1"/>
        </w:numPr>
        <w:spacing w:before="0" w:beforeAutospacing="0" w:after="0" w:afterAutospacing="0" w:line="550" w:lineRule="exact"/>
        <w:ind w:firstLine="640" w:firstLineChars="200"/>
        <w:jc w:val="both"/>
        <w:rPr>
          <w:rFonts w:ascii="仿宋" w:hAnsi="仿宋" w:eastAsia="仿宋" w:cs="仿宋"/>
          <w:sz w:val="28"/>
          <w:szCs w:val="28"/>
          <w:highlight w:val="green"/>
        </w:rPr>
      </w:pPr>
      <w:r>
        <w:rPr>
          <w:rFonts w:hint="eastAsia" w:ascii="仿宋_GB2312" w:hAnsi="仿宋_GB2312" w:eastAsia="仿宋_GB2312" w:cs="仿宋_GB2312"/>
          <w:i w:val="0"/>
          <w:iCs w:val="0"/>
          <w:caps w:val="0"/>
          <w:color w:val="232323"/>
          <w:spacing w:val="0"/>
          <w:sz w:val="32"/>
          <w:szCs w:val="32"/>
          <w:highlight w:val="green"/>
          <w:shd w:val="clear" w:fill="FFFFFF"/>
        </w:rPr>
        <w:t>宣城市疾控中心血清学检测试剂耗材采购项目</w:t>
      </w:r>
    </w:p>
    <w:p w14:paraId="69B4A3F0">
      <w:pPr>
        <w:pStyle w:val="12"/>
        <w:numPr>
          <w:ilvl w:val="0"/>
          <w:numId w:val="1"/>
        </w:numPr>
        <w:spacing w:before="0" w:beforeAutospacing="0" w:after="0" w:afterAutospacing="0" w:line="550" w:lineRule="exact"/>
        <w:ind w:firstLine="640" w:firstLineChars="200"/>
        <w:jc w:val="both"/>
        <w:rPr>
          <w:rFonts w:ascii="仿宋" w:hAnsi="仿宋" w:eastAsia="仿宋" w:cs="仿宋"/>
          <w:sz w:val="28"/>
          <w:szCs w:val="28"/>
          <w:highlight w:val="green"/>
        </w:rPr>
      </w:pPr>
      <w:r>
        <w:rPr>
          <w:rFonts w:hint="eastAsia" w:ascii="仿宋_GB2312" w:hAnsi="仿宋_GB2312" w:eastAsia="仿宋_GB2312" w:cs="仿宋_GB2312"/>
          <w:i w:val="0"/>
          <w:iCs w:val="0"/>
          <w:caps w:val="0"/>
          <w:color w:val="232323"/>
          <w:spacing w:val="0"/>
          <w:sz w:val="32"/>
          <w:szCs w:val="32"/>
          <w:highlight w:val="green"/>
          <w:shd w:val="clear" w:fill="FFFFFF"/>
        </w:rPr>
        <w:t>宣城市疾控中心理化检测试剂耗材采购项目</w:t>
      </w:r>
    </w:p>
    <w:p w14:paraId="59959E8E">
      <w:pPr>
        <w:pStyle w:val="12"/>
        <w:spacing w:before="0" w:beforeAutospacing="0" w:after="0" w:afterAutospacing="0" w:line="550" w:lineRule="exact"/>
        <w:ind w:firstLine="560" w:firstLineChars="200"/>
        <w:jc w:val="both"/>
        <w:rPr>
          <w:rFonts w:hint="eastAsia" w:ascii="仿宋" w:hAnsi="仿宋" w:eastAsia="仿宋" w:cs="仿宋"/>
          <w:sz w:val="28"/>
          <w:szCs w:val="28"/>
          <w:highlight w:val="green"/>
          <w:lang w:eastAsia="zh-CN"/>
        </w:rPr>
      </w:pPr>
      <w:r>
        <w:rPr>
          <w:rFonts w:hint="eastAsia" w:ascii="仿宋" w:hAnsi="仿宋" w:eastAsia="仿宋" w:cs="仿宋"/>
          <w:sz w:val="28"/>
          <w:szCs w:val="28"/>
        </w:rPr>
        <w:t>采购方式：</w:t>
      </w:r>
      <w:r>
        <w:rPr>
          <w:rFonts w:hint="eastAsia" w:ascii="仿宋" w:hAnsi="仿宋" w:eastAsia="仿宋" w:cs="仿宋"/>
          <w:sz w:val="28"/>
          <w:szCs w:val="28"/>
          <w:highlight w:val="green"/>
          <w:lang w:eastAsia="zh-CN"/>
        </w:rPr>
        <w:t>公开招标</w:t>
      </w:r>
    </w:p>
    <w:p w14:paraId="567259FC">
      <w:pPr>
        <w:pStyle w:val="12"/>
        <w:spacing w:before="0" w:beforeAutospacing="0" w:after="0" w:afterAutospacing="0" w:line="550" w:lineRule="exact"/>
        <w:ind w:firstLine="560" w:firstLineChars="200"/>
        <w:jc w:val="both"/>
        <w:rPr>
          <w:rFonts w:ascii="仿宋" w:hAnsi="仿宋" w:eastAsia="仿宋" w:cs="仿宋"/>
          <w:color w:val="FF0000"/>
          <w:sz w:val="28"/>
          <w:szCs w:val="28"/>
          <w:highlight w:val="yellow"/>
        </w:rPr>
      </w:pPr>
      <w:r>
        <w:rPr>
          <w:rFonts w:hint="eastAsia" w:ascii="仿宋" w:hAnsi="仿宋" w:eastAsia="仿宋" w:cs="仿宋"/>
          <w:color w:val="FF0000"/>
          <w:sz w:val="28"/>
          <w:szCs w:val="28"/>
          <w:highlight w:val="yellow"/>
        </w:rPr>
        <w:t>预算金额：元</w:t>
      </w:r>
    </w:p>
    <w:p w14:paraId="15F5AB45">
      <w:pPr>
        <w:pStyle w:val="12"/>
        <w:spacing w:before="0" w:beforeAutospacing="0" w:after="0" w:afterAutospacing="0" w:line="550" w:lineRule="exact"/>
        <w:ind w:firstLine="560" w:firstLineChars="200"/>
        <w:jc w:val="both"/>
        <w:rPr>
          <w:rFonts w:ascii="仿宋" w:hAnsi="仿宋" w:eastAsia="仿宋" w:cs="仿宋"/>
          <w:color w:val="FF0000"/>
          <w:sz w:val="28"/>
          <w:szCs w:val="28"/>
          <w:highlight w:val="yellow"/>
        </w:rPr>
      </w:pPr>
      <w:r>
        <w:rPr>
          <w:rFonts w:hint="eastAsia" w:ascii="仿宋" w:hAnsi="仿宋" w:eastAsia="仿宋" w:cs="仿宋"/>
          <w:color w:val="FF0000"/>
          <w:sz w:val="28"/>
          <w:szCs w:val="28"/>
          <w:highlight w:val="yellow"/>
        </w:rPr>
        <w:t>最高限价：元</w:t>
      </w:r>
    </w:p>
    <w:p w14:paraId="17B1558F">
      <w:pPr>
        <w:pStyle w:val="12"/>
        <w:spacing w:before="0" w:beforeAutospacing="0" w:after="0" w:afterAutospacing="0" w:line="550" w:lineRule="exact"/>
        <w:ind w:firstLine="560" w:firstLineChars="200"/>
        <w:jc w:val="both"/>
        <w:rPr>
          <w:rFonts w:hint="eastAsia" w:ascii="仿宋" w:hAnsi="仿宋" w:eastAsia="仿宋" w:cs="仿宋"/>
          <w:color w:val="FF0000"/>
          <w:sz w:val="28"/>
          <w:szCs w:val="28"/>
          <w:highlight w:val="yellow"/>
        </w:rPr>
      </w:pPr>
    </w:p>
    <w:tbl>
      <w:tblPr>
        <w:tblStyle w:val="9"/>
        <w:tblW w:w="842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42"/>
        <w:gridCol w:w="1685"/>
        <w:gridCol w:w="4907"/>
        <w:gridCol w:w="990"/>
      </w:tblGrid>
      <w:tr w14:paraId="218182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Header/>
        </w:trPr>
        <w:tc>
          <w:tcPr>
            <w:tcW w:w="842" w:type="dxa"/>
            <w:tcBorders>
              <w:top w:val="single" w:color="BBBBBB" w:sz="6" w:space="0"/>
              <w:left w:val="single" w:color="BBBBBB" w:sz="6" w:space="0"/>
              <w:bottom w:val="single" w:color="BBBBBB" w:sz="6" w:space="0"/>
              <w:right w:val="single" w:color="BBBBBB" w:sz="6" w:space="0"/>
            </w:tcBorders>
            <w:shd w:val="clear" w:color="auto" w:fill="auto"/>
            <w:tcMar>
              <w:top w:w="75" w:type="dxa"/>
              <w:left w:w="150" w:type="dxa"/>
              <w:bottom w:w="75" w:type="dxa"/>
              <w:right w:w="150" w:type="dxa"/>
            </w:tcMar>
            <w:vAlign w:val="center"/>
          </w:tcPr>
          <w:p w14:paraId="6A59CDA1">
            <w:pPr>
              <w:keepNext w:val="0"/>
              <w:keepLines w:val="0"/>
              <w:pageBreakBefore w:val="0"/>
              <w:widowControl/>
              <w:suppressLineNumbers w:val="0"/>
              <w:kinsoku/>
              <w:wordWrap w:val="0"/>
              <w:overflowPunct/>
              <w:topLinePunct w:val="0"/>
              <w:autoSpaceDE/>
              <w:autoSpaceDN/>
              <w:bidi w:val="0"/>
              <w:adjustRightInd/>
              <w:snapToGrid/>
              <w:spacing w:line="500" w:lineRule="exact"/>
              <w:ind w:left="0" w:firstLine="0"/>
              <w:jc w:val="center"/>
              <w:textAlignment w:val="auto"/>
              <w:rPr>
                <w:rFonts w:ascii="微软雅黑" w:hAnsi="微软雅黑" w:eastAsia="微软雅黑" w:cs="微软雅黑"/>
                <w:caps w:val="0"/>
                <w:spacing w:val="0"/>
                <w:sz w:val="21"/>
                <w:szCs w:val="21"/>
              </w:rPr>
            </w:pPr>
            <w:r>
              <w:rPr>
                <w:rFonts w:hint="eastAsia" w:ascii="微软雅黑" w:hAnsi="微软雅黑" w:eastAsia="微软雅黑" w:cs="微软雅黑"/>
                <w:caps w:val="0"/>
                <w:spacing w:val="0"/>
                <w:kern w:val="0"/>
                <w:sz w:val="21"/>
                <w:szCs w:val="21"/>
                <w:lang w:val="en-US" w:eastAsia="zh-CN" w:bidi="ar"/>
              </w:rPr>
              <w:t>序号</w:t>
            </w:r>
          </w:p>
        </w:tc>
        <w:tc>
          <w:tcPr>
            <w:tcW w:w="1685" w:type="dxa"/>
            <w:tcBorders>
              <w:top w:val="single" w:color="BBBBBB" w:sz="6" w:space="0"/>
              <w:left w:val="single" w:color="BBBBBB" w:sz="6" w:space="0"/>
              <w:bottom w:val="single" w:color="BBBBBB" w:sz="6" w:space="0"/>
              <w:right w:val="single" w:color="BBBBBB" w:sz="6" w:space="0"/>
            </w:tcBorders>
            <w:shd w:val="clear" w:color="auto" w:fill="auto"/>
            <w:tcMar>
              <w:top w:w="75" w:type="dxa"/>
              <w:left w:w="150" w:type="dxa"/>
              <w:bottom w:w="75" w:type="dxa"/>
              <w:right w:w="150" w:type="dxa"/>
            </w:tcMar>
            <w:vAlign w:val="center"/>
          </w:tcPr>
          <w:p w14:paraId="3302CEF4">
            <w:pPr>
              <w:keepNext w:val="0"/>
              <w:keepLines w:val="0"/>
              <w:pageBreakBefore w:val="0"/>
              <w:widowControl/>
              <w:suppressLineNumbers w:val="0"/>
              <w:kinsoku/>
              <w:overflowPunct/>
              <w:topLinePunct w:val="0"/>
              <w:autoSpaceDE/>
              <w:autoSpaceDN/>
              <w:bidi w:val="0"/>
              <w:adjustRightInd/>
              <w:snapToGrid/>
              <w:spacing w:line="500" w:lineRule="exact"/>
              <w:ind w:left="0" w:firstLine="0"/>
              <w:jc w:val="center"/>
              <w:textAlignment w:val="auto"/>
              <w:rPr>
                <w:rFonts w:hint="eastAsia" w:ascii="微软雅黑" w:hAnsi="微软雅黑" w:eastAsia="微软雅黑" w:cs="微软雅黑"/>
                <w:caps w:val="0"/>
                <w:spacing w:val="0"/>
                <w:sz w:val="21"/>
                <w:szCs w:val="21"/>
              </w:rPr>
            </w:pPr>
            <w:r>
              <w:rPr>
                <w:rFonts w:hint="eastAsia" w:ascii="微软雅黑" w:hAnsi="微软雅黑" w:eastAsia="微软雅黑" w:cs="微软雅黑"/>
                <w:caps w:val="0"/>
                <w:spacing w:val="0"/>
                <w:kern w:val="0"/>
                <w:sz w:val="21"/>
                <w:szCs w:val="21"/>
                <w:lang w:val="en-US" w:eastAsia="zh-CN" w:bidi="ar"/>
              </w:rPr>
              <w:t>采购项目名称</w:t>
            </w:r>
          </w:p>
        </w:tc>
        <w:tc>
          <w:tcPr>
            <w:tcW w:w="4907" w:type="dxa"/>
            <w:tcBorders>
              <w:top w:val="single" w:color="BBBBBB" w:sz="6" w:space="0"/>
              <w:left w:val="single" w:color="BBBBBB" w:sz="6" w:space="0"/>
              <w:bottom w:val="single" w:color="BBBBBB" w:sz="6" w:space="0"/>
              <w:right w:val="single" w:color="BBBBBB" w:sz="6" w:space="0"/>
            </w:tcBorders>
            <w:shd w:val="clear" w:color="auto" w:fill="auto"/>
            <w:tcMar>
              <w:top w:w="75" w:type="dxa"/>
              <w:left w:w="150" w:type="dxa"/>
              <w:bottom w:w="75" w:type="dxa"/>
              <w:right w:w="150" w:type="dxa"/>
            </w:tcMar>
            <w:vAlign w:val="center"/>
          </w:tcPr>
          <w:p w14:paraId="71ABB3AC">
            <w:pPr>
              <w:keepNext w:val="0"/>
              <w:keepLines w:val="0"/>
              <w:pageBreakBefore w:val="0"/>
              <w:widowControl/>
              <w:suppressLineNumbers w:val="0"/>
              <w:kinsoku/>
              <w:overflowPunct/>
              <w:topLinePunct w:val="0"/>
              <w:autoSpaceDE/>
              <w:autoSpaceDN/>
              <w:bidi w:val="0"/>
              <w:adjustRightInd/>
              <w:snapToGrid/>
              <w:spacing w:line="500" w:lineRule="exact"/>
              <w:ind w:left="0" w:firstLine="0"/>
              <w:jc w:val="center"/>
              <w:textAlignment w:val="auto"/>
              <w:rPr>
                <w:rFonts w:hint="eastAsia" w:ascii="微软雅黑" w:hAnsi="微软雅黑" w:eastAsia="微软雅黑" w:cs="微软雅黑"/>
                <w:caps w:val="0"/>
                <w:spacing w:val="0"/>
                <w:sz w:val="21"/>
                <w:szCs w:val="21"/>
              </w:rPr>
            </w:pPr>
            <w:r>
              <w:rPr>
                <w:rFonts w:hint="eastAsia" w:ascii="微软雅黑" w:hAnsi="微软雅黑" w:eastAsia="微软雅黑" w:cs="微软雅黑"/>
                <w:caps w:val="0"/>
                <w:spacing w:val="0"/>
                <w:kern w:val="0"/>
                <w:sz w:val="21"/>
                <w:szCs w:val="21"/>
                <w:lang w:val="en-US" w:eastAsia="zh-CN" w:bidi="ar"/>
              </w:rPr>
              <w:t>采购需求概况</w:t>
            </w:r>
          </w:p>
        </w:tc>
        <w:tc>
          <w:tcPr>
            <w:tcW w:w="990" w:type="dxa"/>
            <w:tcBorders>
              <w:top w:val="single" w:color="BBBBBB" w:sz="6" w:space="0"/>
              <w:left w:val="single" w:color="BBBBBB" w:sz="6" w:space="0"/>
              <w:bottom w:val="single" w:color="BBBBBB" w:sz="6" w:space="0"/>
              <w:right w:val="single" w:color="BBBBBB" w:sz="6" w:space="0"/>
            </w:tcBorders>
            <w:shd w:val="clear" w:color="auto" w:fill="auto"/>
            <w:tcMar>
              <w:top w:w="75" w:type="dxa"/>
              <w:left w:w="150" w:type="dxa"/>
              <w:bottom w:w="75" w:type="dxa"/>
              <w:right w:w="150" w:type="dxa"/>
            </w:tcMar>
            <w:vAlign w:val="center"/>
          </w:tcPr>
          <w:p w14:paraId="25A3015D">
            <w:pPr>
              <w:keepNext w:val="0"/>
              <w:keepLines w:val="0"/>
              <w:pageBreakBefore w:val="0"/>
              <w:widowControl/>
              <w:suppressLineNumbers w:val="0"/>
              <w:kinsoku/>
              <w:wordWrap w:val="0"/>
              <w:overflowPunct/>
              <w:topLinePunct w:val="0"/>
              <w:autoSpaceDE/>
              <w:autoSpaceDN/>
              <w:bidi w:val="0"/>
              <w:adjustRightInd/>
              <w:snapToGrid/>
              <w:spacing w:line="500" w:lineRule="exact"/>
              <w:ind w:left="0" w:firstLine="0"/>
              <w:jc w:val="center"/>
              <w:textAlignment w:val="auto"/>
              <w:rPr>
                <w:rFonts w:hint="eastAsia" w:ascii="微软雅黑" w:hAnsi="微软雅黑" w:eastAsia="微软雅黑" w:cs="微软雅黑"/>
                <w:caps w:val="0"/>
                <w:spacing w:val="0"/>
                <w:sz w:val="21"/>
                <w:szCs w:val="21"/>
              </w:rPr>
            </w:pPr>
            <w:r>
              <w:rPr>
                <w:rFonts w:hint="eastAsia" w:ascii="微软雅黑" w:hAnsi="微软雅黑" w:eastAsia="微软雅黑" w:cs="微软雅黑"/>
                <w:caps w:val="0"/>
                <w:spacing w:val="0"/>
                <w:kern w:val="0"/>
                <w:sz w:val="21"/>
                <w:szCs w:val="21"/>
                <w:lang w:val="en-US" w:eastAsia="zh-CN" w:bidi="ar"/>
              </w:rPr>
              <w:t>预算金额（万元）</w:t>
            </w:r>
          </w:p>
        </w:tc>
      </w:tr>
      <w:tr w14:paraId="24580A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842" w:type="dxa"/>
            <w:tcBorders>
              <w:top w:val="single" w:color="BBBBBB" w:sz="6" w:space="0"/>
              <w:left w:val="single" w:color="BBBBBB" w:sz="6" w:space="0"/>
              <w:bottom w:val="single" w:color="BBBBBB" w:sz="6" w:space="0"/>
              <w:right w:val="single" w:color="BBBBBB" w:sz="6" w:space="0"/>
            </w:tcBorders>
            <w:shd w:val="clear" w:color="auto" w:fill="auto"/>
            <w:tcMar>
              <w:top w:w="75" w:type="dxa"/>
              <w:left w:w="150" w:type="dxa"/>
              <w:bottom w:w="75" w:type="dxa"/>
              <w:right w:w="150" w:type="dxa"/>
            </w:tcMar>
            <w:vAlign w:val="center"/>
          </w:tcPr>
          <w:p w14:paraId="6DB45F44">
            <w:pPr>
              <w:keepNext w:val="0"/>
              <w:keepLines w:val="0"/>
              <w:pageBreakBefore w:val="0"/>
              <w:widowControl/>
              <w:suppressLineNumbers w:val="0"/>
              <w:kinsoku/>
              <w:overflowPunct/>
              <w:topLinePunct w:val="0"/>
              <w:autoSpaceDE/>
              <w:autoSpaceDN/>
              <w:bidi w:val="0"/>
              <w:adjustRightInd/>
              <w:snapToGrid/>
              <w:spacing w:line="500" w:lineRule="exact"/>
              <w:ind w:left="0" w:firstLine="0"/>
              <w:jc w:val="center"/>
              <w:textAlignment w:val="auto"/>
              <w:rPr>
                <w:rFonts w:hint="eastAsia" w:ascii="微软雅黑" w:hAnsi="微软雅黑" w:eastAsia="微软雅黑" w:cs="微软雅黑"/>
                <w:caps w:val="0"/>
                <w:spacing w:val="0"/>
                <w:sz w:val="21"/>
                <w:szCs w:val="21"/>
              </w:rPr>
            </w:pPr>
            <w:r>
              <w:rPr>
                <w:rFonts w:hint="eastAsia" w:ascii="微软雅黑" w:hAnsi="微软雅黑" w:eastAsia="微软雅黑" w:cs="微软雅黑"/>
                <w:caps w:val="0"/>
                <w:spacing w:val="0"/>
                <w:kern w:val="0"/>
                <w:sz w:val="21"/>
                <w:szCs w:val="21"/>
                <w:lang w:val="en-US" w:eastAsia="zh-CN" w:bidi="ar"/>
              </w:rPr>
              <w:t>1</w:t>
            </w:r>
          </w:p>
        </w:tc>
        <w:tc>
          <w:tcPr>
            <w:tcW w:w="1685" w:type="dxa"/>
            <w:tcBorders>
              <w:top w:val="single" w:color="BBBBBB" w:sz="6" w:space="0"/>
              <w:left w:val="single" w:color="BBBBBB" w:sz="6" w:space="0"/>
              <w:bottom w:val="single" w:color="BBBBBB" w:sz="6" w:space="0"/>
              <w:right w:val="single" w:color="BBBBBB" w:sz="6" w:space="0"/>
            </w:tcBorders>
            <w:shd w:val="clear" w:color="auto" w:fill="auto"/>
            <w:tcMar>
              <w:top w:w="75" w:type="dxa"/>
              <w:left w:w="150" w:type="dxa"/>
              <w:bottom w:w="75" w:type="dxa"/>
              <w:right w:w="150" w:type="dxa"/>
            </w:tcMar>
            <w:vAlign w:val="center"/>
          </w:tcPr>
          <w:p w14:paraId="7B2F61A1">
            <w:pPr>
              <w:keepNext w:val="0"/>
              <w:keepLines w:val="0"/>
              <w:pageBreakBefore w:val="0"/>
              <w:widowControl/>
              <w:suppressLineNumbers w:val="0"/>
              <w:kinsoku/>
              <w:overflowPunct/>
              <w:topLinePunct w:val="0"/>
              <w:autoSpaceDE/>
              <w:autoSpaceDN/>
              <w:bidi w:val="0"/>
              <w:adjustRightInd/>
              <w:snapToGrid/>
              <w:spacing w:line="500" w:lineRule="exact"/>
              <w:ind w:left="0" w:firstLine="0"/>
              <w:jc w:val="left"/>
              <w:textAlignment w:val="auto"/>
              <w:rPr>
                <w:rFonts w:hint="eastAsia" w:ascii="微软雅黑" w:hAnsi="微软雅黑" w:eastAsia="微软雅黑" w:cs="微软雅黑"/>
                <w:caps w:val="0"/>
                <w:spacing w:val="0"/>
                <w:sz w:val="21"/>
                <w:szCs w:val="21"/>
              </w:rPr>
            </w:pPr>
            <w:r>
              <w:rPr>
                <w:rFonts w:hint="eastAsia" w:ascii="微软雅黑" w:hAnsi="微软雅黑" w:eastAsia="微软雅黑" w:cs="微软雅黑"/>
                <w:caps w:val="0"/>
                <w:spacing w:val="0"/>
                <w:kern w:val="0"/>
                <w:sz w:val="21"/>
                <w:szCs w:val="21"/>
                <w:lang w:val="en-US" w:eastAsia="zh-CN" w:bidi="ar"/>
              </w:rPr>
              <w:t>宣城市疾控中心核酸检测试剂耗材采购项目</w:t>
            </w:r>
          </w:p>
        </w:tc>
        <w:tc>
          <w:tcPr>
            <w:tcW w:w="4907" w:type="dxa"/>
            <w:tcBorders>
              <w:top w:val="single" w:color="BBBBBB" w:sz="6" w:space="0"/>
              <w:left w:val="single" w:color="BBBBBB" w:sz="6" w:space="0"/>
              <w:bottom w:val="single" w:color="BBBBBB" w:sz="6" w:space="0"/>
              <w:right w:val="single" w:color="BBBBBB" w:sz="6" w:space="0"/>
            </w:tcBorders>
            <w:shd w:val="clear" w:color="auto" w:fill="auto"/>
            <w:tcMar>
              <w:top w:w="75" w:type="dxa"/>
              <w:left w:w="150" w:type="dxa"/>
              <w:bottom w:w="75" w:type="dxa"/>
              <w:right w:w="150" w:type="dxa"/>
            </w:tcMar>
            <w:vAlign w:val="center"/>
          </w:tcPr>
          <w:p w14:paraId="0CCB6F99">
            <w:pPr>
              <w:keepNext w:val="0"/>
              <w:keepLines w:val="0"/>
              <w:pageBreakBefore w:val="0"/>
              <w:widowControl/>
              <w:suppressLineNumbers w:val="0"/>
              <w:kinsoku/>
              <w:overflowPunct/>
              <w:topLinePunct w:val="0"/>
              <w:autoSpaceDE/>
              <w:autoSpaceDN/>
              <w:bidi w:val="0"/>
              <w:adjustRightInd/>
              <w:snapToGrid/>
              <w:spacing w:line="500" w:lineRule="exact"/>
              <w:ind w:left="0" w:firstLine="0"/>
              <w:jc w:val="left"/>
              <w:textAlignment w:val="auto"/>
              <w:rPr>
                <w:rFonts w:hint="eastAsia" w:ascii="微软雅黑" w:hAnsi="微软雅黑" w:eastAsia="微软雅黑" w:cs="微软雅黑"/>
                <w:caps w:val="0"/>
                <w:spacing w:val="0"/>
                <w:sz w:val="21"/>
                <w:szCs w:val="21"/>
              </w:rPr>
            </w:pPr>
            <w:r>
              <w:rPr>
                <w:rFonts w:hint="eastAsia" w:ascii="微软雅黑" w:hAnsi="微软雅黑" w:eastAsia="微软雅黑" w:cs="微软雅黑"/>
                <w:caps w:val="0"/>
                <w:spacing w:val="0"/>
                <w:kern w:val="0"/>
                <w:sz w:val="21"/>
                <w:szCs w:val="21"/>
                <w:lang w:val="en-US" w:eastAsia="zh-CN" w:bidi="ar"/>
              </w:rPr>
              <w:t>专项用于我市重大和重点传染病及病原微生物监测网络的高效运行。采购新冠流感、呼吸道多病原、发热伴出血、病媒生物、艾滋病、食源性疾病、国家致病菌识别网细菌性传染病等监测检测所需的核酸提取试剂、荧光PCR试剂及配套耗材，支撑卫生应急与日常监测检测需要，确保检测结果及时、准确、可溯源，提升新发突发病原体的早期识别和“一锤定音”能力，切实筑牢宣城市公共卫生安全防线。</w:t>
            </w:r>
          </w:p>
        </w:tc>
        <w:tc>
          <w:tcPr>
            <w:tcW w:w="990" w:type="dxa"/>
            <w:tcBorders>
              <w:top w:val="single" w:color="BBBBBB" w:sz="6" w:space="0"/>
              <w:left w:val="single" w:color="BBBBBB" w:sz="6" w:space="0"/>
              <w:bottom w:val="single" w:color="BBBBBB" w:sz="6" w:space="0"/>
              <w:right w:val="single" w:color="BBBBBB" w:sz="6" w:space="0"/>
            </w:tcBorders>
            <w:shd w:val="clear" w:color="auto" w:fill="auto"/>
            <w:tcMar>
              <w:top w:w="75" w:type="dxa"/>
              <w:left w:w="150" w:type="dxa"/>
              <w:bottom w:w="75" w:type="dxa"/>
              <w:right w:w="150" w:type="dxa"/>
            </w:tcMar>
            <w:vAlign w:val="center"/>
          </w:tcPr>
          <w:p w14:paraId="61A6BBF9">
            <w:pPr>
              <w:keepNext w:val="0"/>
              <w:keepLines w:val="0"/>
              <w:pageBreakBefore w:val="0"/>
              <w:widowControl/>
              <w:suppressLineNumbers w:val="0"/>
              <w:kinsoku/>
              <w:wordWrap w:val="0"/>
              <w:overflowPunct/>
              <w:topLinePunct w:val="0"/>
              <w:autoSpaceDE/>
              <w:autoSpaceDN/>
              <w:bidi w:val="0"/>
              <w:adjustRightInd/>
              <w:snapToGrid/>
              <w:spacing w:line="500" w:lineRule="exact"/>
              <w:ind w:left="0" w:firstLine="0"/>
              <w:jc w:val="right"/>
              <w:textAlignment w:val="auto"/>
              <w:rPr>
                <w:rFonts w:hint="eastAsia" w:ascii="微软雅黑" w:hAnsi="微软雅黑" w:eastAsia="微软雅黑" w:cs="微软雅黑"/>
                <w:caps w:val="0"/>
                <w:spacing w:val="0"/>
                <w:sz w:val="21"/>
                <w:szCs w:val="21"/>
              </w:rPr>
            </w:pPr>
            <w:r>
              <w:rPr>
                <w:rFonts w:hint="eastAsia" w:ascii="微软雅黑" w:hAnsi="微软雅黑" w:eastAsia="微软雅黑" w:cs="微软雅黑"/>
                <w:caps w:val="0"/>
                <w:spacing w:val="0"/>
                <w:kern w:val="0"/>
                <w:sz w:val="21"/>
                <w:szCs w:val="21"/>
                <w:lang w:val="en-US" w:eastAsia="zh-CN" w:bidi="ar"/>
              </w:rPr>
              <w:t>216</w:t>
            </w:r>
          </w:p>
        </w:tc>
      </w:tr>
      <w:tr w14:paraId="6DF104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842" w:type="dxa"/>
            <w:tcBorders>
              <w:top w:val="single" w:color="BBBBBB" w:sz="6" w:space="0"/>
              <w:left w:val="single" w:color="BBBBBB" w:sz="6" w:space="0"/>
              <w:bottom w:val="single" w:color="BBBBBB" w:sz="6" w:space="0"/>
              <w:right w:val="single" w:color="BBBBBB" w:sz="6" w:space="0"/>
            </w:tcBorders>
            <w:shd w:val="clear" w:color="auto" w:fill="auto"/>
            <w:tcMar>
              <w:top w:w="75" w:type="dxa"/>
              <w:left w:w="150" w:type="dxa"/>
              <w:bottom w:w="75" w:type="dxa"/>
              <w:right w:w="150" w:type="dxa"/>
            </w:tcMar>
            <w:vAlign w:val="center"/>
          </w:tcPr>
          <w:p w14:paraId="0FA8B90D">
            <w:pPr>
              <w:keepNext w:val="0"/>
              <w:keepLines w:val="0"/>
              <w:pageBreakBefore w:val="0"/>
              <w:widowControl/>
              <w:suppressLineNumbers w:val="0"/>
              <w:kinsoku/>
              <w:overflowPunct/>
              <w:topLinePunct w:val="0"/>
              <w:autoSpaceDE/>
              <w:autoSpaceDN/>
              <w:bidi w:val="0"/>
              <w:adjustRightInd/>
              <w:snapToGrid/>
              <w:spacing w:line="500" w:lineRule="exact"/>
              <w:ind w:left="0" w:firstLine="0"/>
              <w:jc w:val="center"/>
              <w:textAlignment w:val="auto"/>
              <w:rPr>
                <w:rFonts w:hint="eastAsia" w:ascii="微软雅黑" w:hAnsi="微软雅黑" w:eastAsia="微软雅黑" w:cs="微软雅黑"/>
                <w:caps w:val="0"/>
                <w:spacing w:val="0"/>
                <w:sz w:val="21"/>
                <w:szCs w:val="21"/>
              </w:rPr>
            </w:pPr>
            <w:r>
              <w:rPr>
                <w:rFonts w:hint="eastAsia" w:ascii="微软雅黑" w:hAnsi="微软雅黑" w:eastAsia="微软雅黑" w:cs="微软雅黑"/>
                <w:caps w:val="0"/>
                <w:spacing w:val="0"/>
                <w:kern w:val="0"/>
                <w:sz w:val="21"/>
                <w:szCs w:val="21"/>
                <w:lang w:val="en-US" w:eastAsia="zh-CN" w:bidi="ar"/>
              </w:rPr>
              <w:t>2</w:t>
            </w:r>
          </w:p>
        </w:tc>
        <w:tc>
          <w:tcPr>
            <w:tcW w:w="1685" w:type="dxa"/>
            <w:tcBorders>
              <w:top w:val="single" w:color="BBBBBB" w:sz="6" w:space="0"/>
              <w:left w:val="single" w:color="BBBBBB" w:sz="6" w:space="0"/>
              <w:bottom w:val="single" w:color="BBBBBB" w:sz="6" w:space="0"/>
              <w:right w:val="single" w:color="BBBBBB" w:sz="6" w:space="0"/>
            </w:tcBorders>
            <w:shd w:val="clear" w:color="auto" w:fill="auto"/>
            <w:tcMar>
              <w:top w:w="75" w:type="dxa"/>
              <w:left w:w="150" w:type="dxa"/>
              <w:bottom w:w="75" w:type="dxa"/>
              <w:right w:w="150" w:type="dxa"/>
            </w:tcMar>
            <w:vAlign w:val="center"/>
          </w:tcPr>
          <w:p w14:paraId="0F655FD1">
            <w:pPr>
              <w:keepNext w:val="0"/>
              <w:keepLines w:val="0"/>
              <w:pageBreakBefore w:val="0"/>
              <w:widowControl/>
              <w:suppressLineNumbers w:val="0"/>
              <w:kinsoku/>
              <w:overflowPunct/>
              <w:topLinePunct w:val="0"/>
              <w:autoSpaceDE/>
              <w:autoSpaceDN/>
              <w:bidi w:val="0"/>
              <w:adjustRightInd/>
              <w:snapToGrid/>
              <w:spacing w:line="500" w:lineRule="exact"/>
              <w:ind w:left="0" w:firstLine="0"/>
              <w:jc w:val="left"/>
              <w:textAlignment w:val="auto"/>
              <w:rPr>
                <w:rFonts w:hint="eastAsia" w:ascii="微软雅黑" w:hAnsi="微软雅黑" w:eastAsia="微软雅黑" w:cs="微软雅黑"/>
                <w:caps w:val="0"/>
                <w:spacing w:val="0"/>
                <w:sz w:val="21"/>
                <w:szCs w:val="21"/>
              </w:rPr>
            </w:pPr>
            <w:r>
              <w:rPr>
                <w:rFonts w:hint="eastAsia" w:ascii="微软雅黑" w:hAnsi="微软雅黑" w:eastAsia="微软雅黑" w:cs="微软雅黑"/>
                <w:caps w:val="0"/>
                <w:spacing w:val="0"/>
                <w:kern w:val="0"/>
                <w:sz w:val="21"/>
                <w:szCs w:val="21"/>
                <w:lang w:val="en-US" w:eastAsia="zh-CN" w:bidi="ar"/>
              </w:rPr>
              <w:t>宣城市疾控中心基因测序试剂耗材采购项目</w:t>
            </w:r>
          </w:p>
        </w:tc>
        <w:tc>
          <w:tcPr>
            <w:tcW w:w="4907" w:type="dxa"/>
            <w:tcBorders>
              <w:top w:val="single" w:color="BBBBBB" w:sz="6" w:space="0"/>
              <w:left w:val="single" w:color="BBBBBB" w:sz="6" w:space="0"/>
              <w:bottom w:val="single" w:color="BBBBBB" w:sz="6" w:space="0"/>
              <w:right w:val="single" w:color="BBBBBB" w:sz="6" w:space="0"/>
            </w:tcBorders>
            <w:shd w:val="clear" w:color="auto" w:fill="auto"/>
            <w:tcMar>
              <w:top w:w="75" w:type="dxa"/>
              <w:left w:w="150" w:type="dxa"/>
              <w:bottom w:w="75" w:type="dxa"/>
              <w:right w:w="150" w:type="dxa"/>
            </w:tcMar>
            <w:vAlign w:val="center"/>
          </w:tcPr>
          <w:p w14:paraId="31AB1688">
            <w:pPr>
              <w:keepNext w:val="0"/>
              <w:keepLines w:val="0"/>
              <w:pageBreakBefore w:val="0"/>
              <w:widowControl/>
              <w:suppressLineNumbers w:val="0"/>
              <w:kinsoku/>
              <w:overflowPunct/>
              <w:topLinePunct w:val="0"/>
              <w:autoSpaceDE/>
              <w:autoSpaceDN/>
              <w:bidi w:val="0"/>
              <w:adjustRightInd/>
              <w:snapToGrid/>
              <w:spacing w:line="500" w:lineRule="exact"/>
              <w:ind w:left="0" w:firstLine="0"/>
              <w:jc w:val="left"/>
              <w:textAlignment w:val="auto"/>
              <w:rPr>
                <w:rFonts w:hint="eastAsia" w:ascii="微软雅黑" w:hAnsi="微软雅黑" w:eastAsia="微软雅黑" w:cs="微软雅黑"/>
                <w:caps w:val="0"/>
                <w:spacing w:val="0"/>
                <w:sz w:val="21"/>
                <w:szCs w:val="21"/>
              </w:rPr>
            </w:pPr>
            <w:r>
              <w:rPr>
                <w:rFonts w:hint="eastAsia" w:ascii="微软雅黑" w:hAnsi="微软雅黑" w:eastAsia="微软雅黑" w:cs="微软雅黑"/>
                <w:caps w:val="0"/>
                <w:spacing w:val="0"/>
                <w:kern w:val="0"/>
                <w:sz w:val="21"/>
                <w:szCs w:val="21"/>
                <w:lang w:val="en-US" w:eastAsia="zh-CN" w:bidi="ar"/>
              </w:rPr>
              <w:t>专项用于采购新冠变异株监测、卫生应急、食源性疾病、国家致病菌识别网细菌性传染病、发热伴出血热减少综合征监测、呼吸道症候群、发热伴症候群等病原微生物基因测序检测所需建库试剂、测序试剂及相应耗材。旨在提升高通量测序能力，支撑病原体精准溯源、变异演化监测与突发疫情应急处置，为疫情研判和精准防控提供核心技术支撑。</w:t>
            </w:r>
          </w:p>
        </w:tc>
        <w:tc>
          <w:tcPr>
            <w:tcW w:w="990" w:type="dxa"/>
            <w:tcBorders>
              <w:top w:val="single" w:color="BBBBBB" w:sz="6" w:space="0"/>
              <w:left w:val="single" w:color="BBBBBB" w:sz="6" w:space="0"/>
              <w:bottom w:val="single" w:color="BBBBBB" w:sz="6" w:space="0"/>
              <w:right w:val="single" w:color="BBBBBB" w:sz="6" w:space="0"/>
            </w:tcBorders>
            <w:shd w:val="clear" w:color="auto" w:fill="auto"/>
            <w:tcMar>
              <w:top w:w="75" w:type="dxa"/>
              <w:left w:w="150" w:type="dxa"/>
              <w:bottom w:w="75" w:type="dxa"/>
              <w:right w:w="150" w:type="dxa"/>
            </w:tcMar>
            <w:vAlign w:val="center"/>
          </w:tcPr>
          <w:p w14:paraId="74A8E186">
            <w:pPr>
              <w:keepNext w:val="0"/>
              <w:keepLines w:val="0"/>
              <w:pageBreakBefore w:val="0"/>
              <w:widowControl/>
              <w:suppressLineNumbers w:val="0"/>
              <w:kinsoku/>
              <w:wordWrap w:val="0"/>
              <w:overflowPunct/>
              <w:topLinePunct w:val="0"/>
              <w:autoSpaceDE/>
              <w:autoSpaceDN/>
              <w:bidi w:val="0"/>
              <w:adjustRightInd/>
              <w:snapToGrid/>
              <w:spacing w:line="500" w:lineRule="exact"/>
              <w:ind w:left="0" w:firstLine="0"/>
              <w:jc w:val="right"/>
              <w:textAlignment w:val="auto"/>
              <w:rPr>
                <w:rFonts w:hint="eastAsia" w:ascii="微软雅黑" w:hAnsi="微软雅黑" w:eastAsia="微软雅黑" w:cs="微软雅黑"/>
                <w:caps w:val="0"/>
                <w:spacing w:val="0"/>
                <w:sz w:val="21"/>
                <w:szCs w:val="21"/>
              </w:rPr>
            </w:pPr>
            <w:r>
              <w:rPr>
                <w:rFonts w:hint="eastAsia" w:ascii="微软雅黑" w:hAnsi="微软雅黑" w:eastAsia="微软雅黑" w:cs="微软雅黑"/>
                <w:caps w:val="0"/>
                <w:spacing w:val="0"/>
                <w:kern w:val="0"/>
                <w:sz w:val="21"/>
                <w:szCs w:val="21"/>
                <w:lang w:val="en-US" w:eastAsia="zh-CN" w:bidi="ar"/>
              </w:rPr>
              <w:t>115</w:t>
            </w:r>
          </w:p>
        </w:tc>
      </w:tr>
      <w:tr w14:paraId="3FFAB1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842" w:type="dxa"/>
            <w:tcBorders>
              <w:top w:val="single" w:color="BBBBBB" w:sz="6" w:space="0"/>
              <w:left w:val="single" w:color="BBBBBB" w:sz="6" w:space="0"/>
              <w:bottom w:val="single" w:color="BBBBBB" w:sz="6" w:space="0"/>
              <w:right w:val="single" w:color="BBBBBB" w:sz="6" w:space="0"/>
            </w:tcBorders>
            <w:shd w:val="clear" w:color="auto" w:fill="auto"/>
            <w:tcMar>
              <w:top w:w="75" w:type="dxa"/>
              <w:left w:w="150" w:type="dxa"/>
              <w:bottom w:w="75" w:type="dxa"/>
              <w:right w:w="150" w:type="dxa"/>
            </w:tcMar>
            <w:vAlign w:val="center"/>
          </w:tcPr>
          <w:p w14:paraId="39D81BF3">
            <w:pPr>
              <w:keepNext w:val="0"/>
              <w:keepLines w:val="0"/>
              <w:pageBreakBefore w:val="0"/>
              <w:widowControl/>
              <w:suppressLineNumbers w:val="0"/>
              <w:kinsoku/>
              <w:overflowPunct/>
              <w:topLinePunct w:val="0"/>
              <w:autoSpaceDE/>
              <w:autoSpaceDN/>
              <w:bidi w:val="0"/>
              <w:adjustRightInd/>
              <w:snapToGrid/>
              <w:spacing w:line="500" w:lineRule="exact"/>
              <w:ind w:left="0" w:firstLine="0"/>
              <w:jc w:val="center"/>
              <w:textAlignment w:val="auto"/>
              <w:rPr>
                <w:rFonts w:hint="eastAsia" w:ascii="微软雅黑" w:hAnsi="微软雅黑" w:eastAsia="微软雅黑" w:cs="微软雅黑"/>
                <w:caps w:val="0"/>
                <w:spacing w:val="0"/>
                <w:sz w:val="21"/>
                <w:szCs w:val="21"/>
              </w:rPr>
            </w:pPr>
            <w:r>
              <w:rPr>
                <w:rFonts w:hint="eastAsia" w:ascii="微软雅黑" w:hAnsi="微软雅黑" w:eastAsia="微软雅黑" w:cs="微软雅黑"/>
                <w:caps w:val="0"/>
                <w:spacing w:val="0"/>
                <w:kern w:val="0"/>
                <w:sz w:val="21"/>
                <w:szCs w:val="21"/>
                <w:lang w:val="en-US" w:eastAsia="zh-CN" w:bidi="ar"/>
              </w:rPr>
              <w:t>3</w:t>
            </w:r>
          </w:p>
        </w:tc>
        <w:tc>
          <w:tcPr>
            <w:tcW w:w="1685" w:type="dxa"/>
            <w:tcBorders>
              <w:top w:val="single" w:color="BBBBBB" w:sz="6" w:space="0"/>
              <w:left w:val="single" w:color="BBBBBB" w:sz="6" w:space="0"/>
              <w:bottom w:val="single" w:color="BBBBBB" w:sz="6" w:space="0"/>
              <w:right w:val="single" w:color="BBBBBB" w:sz="6" w:space="0"/>
            </w:tcBorders>
            <w:shd w:val="clear" w:color="auto" w:fill="auto"/>
            <w:tcMar>
              <w:top w:w="75" w:type="dxa"/>
              <w:left w:w="150" w:type="dxa"/>
              <w:bottom w:w="75" w:type="dxa"/>
              <w:right w:w="150" w:type="dxa"/>
            </w:tcMar>
            <w:vAlign w:val="center"/>
          </w:tcPr>
          <w:p w14:paraId="31B96CFE">
            <w:pPr>
              <w:keepNext w:val="0"/>
              <w:keepLines w:val="0"/>
              <w:pageBreakBefore w:val="0"/>
              <w:widowControl/>
              <w:suppressLineNumbers w:val="0"/>
              <w:kinsoku/>
              <w:overflowPunct/>
              <w:topLinePunct w:val="0"/>
              <w:autoSpaceDE/>
              <w:autoSpaceDN/>
              <w:bidi w:val="0"/>
              <w:adjustRightInd/>
              <w:snapToGrid/>
              <w:spacing w:line="500" w:lineRule="exact"/>
              <w:ind w:left="0" w:firstLine="0"/>
              <w:jc w:val="left"/>
              <w:textAlignment w:val="auto"/>
              <w:rPr>
                <w:rFonts w:hint="eastAsia" w:ascii="微软雅黑" w:hAnsi="微软雅黑" w:eastAsia="微软雅黑" w:cs="微软雅黑"/>
                <w:caps w:val="0"/>
                <w:spacing w:val="0"/>
                <w:sz w:val="21"/>
                <w:szCs w:val="21"/>
              </w:rPr>
            </w:pPr>
            <w:r>
              <w:rPr>
                <w:rFonts w:hint="eastAsia" w:ascii="微软雅黑" w:hAnsi="微软雅黑" w:eastAsia="微软雅黑" w:cs="微软雅黑"/>
                <w:caps w:val="0"/>
                <w:spacing w:val="0"/>
                <w:kern w:val="0"/>
                <w:sz w:val="21"/>
                <w:szCs w:val="21"/>
                <w:lang w:val="en-US" w:eastAsia="zh-CN" w:bidi="ar"/>
              </w:rPr>
              <w:t>宣城市疾控中心血清学检测试剂耗材采购项目</w:t>
            </w:r>
          </w:p>
        </w:tc>
        <w:tc>
          <w:tcPr>
            <w:tcW w:w="4907" w:type="dxa"/>
            <w:tcBorders>
              <w:top w:val="single" w:color="BBBBBB" w:sz="6" w:space="0"/>
              <w:left w:val="single" w:color="BBBBBB" w:sz="6" w:space="0"/>
              <w:bottom w:val="single" w:color="BBBBBB" w:sz="6" w:space="0"/>
              <w:right w:val="single" w:color="BBBBBB" w:sz="6" w:space="0"/>
            </w:tcBorders>
            <w:shd w:val="clear" w:color="auto" w:fill="auto"/>
            <w:tcMar>
              <w:top w:w="75" w:type="dxa"/>
              <w:left w:w="150" w:type="dxa"/>
              <w:bottom w:w="75" w:type="dxa"/>
              <w:right w:w="150" w:type="dxa"/>
            </w:tcMar>
            <w:vAlign w:val="center"/>
          </w:tcPr>
          <w:p w14:paraId="6E97375A">
            <w:pPr>
              <w:keepNext w:val="0"/>
              <w:keepLines w:val="0"/>
              <w:pageBreakBefore w:val="0"/>
              <w:widowControl/>
              <w:suppressLineNumbers w:val="0"/>
              <w:kinsoku/>
              <w:overflowPunct/>
              <w:topLinePunct w:val="0"/>
              <w:autoSpaceDE/>
              <w:autoSpaceDN/>
              <w:bidi w:val="0"/>
              <w:adjustRightInd/>
              <w:snapToGrid/>
              <w:spacing w:line="500" w:lineRule="exact"/>
              <w:ind w:left="0" w:firstLine="0"/>
              <w:jc w:val="left"/>
              <w:textAlignment w:val="auto"/>
              <w:rPr>
                <w:rFonts w:hint="eastAsia" w:ascii="微软雅黑" w:hAnsi="微软雅黑" w:eastAsia="微软雅黑" w:cs="微软雅黑"/>
                <w:caps w:val="0"/>
                <w:spacing w:val="0"/>
                <w:sz w:val="21"/>
                <w:szCs w:val="21"/>
              </w:rPr>
            </w:pPr>
            <w:r>
              <w:rPr>
                <w:rFonts w:hint="eastAsia" w:ascii="微软雅黑" w:hAnsi="微软雅黑" w:eastAsia="微软雅黑" w:cs="微软雅黑"/>
                <w:caps w:val="0"/>
                <w:spacing w:val="0"/>
                <w:kern w:val="0"/>
                <w:sz w:val="21"/>
                <w:szCs w:val="21"/>
                <w:lang w:val="en-US" w:eastAsia="zh-CN" w:bidi="ar"/>
              </w:rPr>
              <w:t>专项用于采购麻疹风疹、流脑、艾梅乙、出血热监测及卫生应急等病原微生物血清学检测所需的抗原抗体检测试剂及耗材。旨在加强免疫相关传染病的抗原抗体水平监测与疫情早期预警，快速评估人群免疫状况和感染风险，为卫生应急处置和防控策略调整提供及时、可靠的血清学依据。</w:t>
            </w:r>
          </w:p>
        </w:tc>
        <w:tc>
          <w:tcPr>
            <w:tcW w:w="990" w:type="dxa"/>
            <w:tcBorders>
              <w:top w:val="single" w:color="BBBBBB" w:sz="6" w:space="0"/>
              <w:left w:val="single" w:color="BBBBBB" w:sz="6" w:space="0"/>
              <w:bottom w:val="single" w:color="BBBBBB" w:sz="6" w:space="0"/>
              <w:right w:val="single" w:color="BBBBBB" w:sz="6" w:space="0"/>
            </w:tcBorders>
            <w:shd w:val="clear" w:color="auto" w:fill="auto"/>
            <w:tcMar>
              <w:top w:w="75" w:type="dxa"/>
              <w:left w:w="150" w:type="dxa"/>
              <w:bottom w:w="75" w:type="dxa"/>
              <w:right w:w="150" w:type="dxa"/>
            </w:tcMar>
            <w:vAlign w:val="center"/>
          </w:tcPr>
          <w:p w14:paraId="779B7F06">
            <w:pPr>
              <w:keepNext w:val="0"/>
              <w:keepLines w:val="0"/>
              <w:pageBreakBefore w:val="0"/>
              <w:widowControl/>
              <w:suppressLineNumbers w:val="0"/>
              <w:kinsoku/>
              <w:wordWrap w:val="0"/>
              <w:overflowPunct/>
              <w:topLinePunct w:val="0"/>
              <w:autoSpaceDE/>
              <w:autoSpaceDN/>
              <w:bidi w:val="0"/>
              <w:adjustRightInd/>
              <w:snapToGrid/>
              <w:spacing w:line="500" w:lineRule="exact"/>
              <w:ind w:left="0" w:firstLine="0"/>
              <w:jc w:val="right"/>
              <w:textAlignment w:val="auto"/>
              <w:rPr>
                <w:rFonts w:hint="eastAsia" w:ascii="微软雅黑" w:hAnsi="微软雅黑" w:eastAsia="微软雅黑" w:cs="微软雅黑"/>
                <w:caps w:val="0"/>
                <w:spacing w:val="0"/>
                <w:sz w:val="21"/>
                <w:szCs w:val="21"/>
              </w:rPr>
            </w:pPr>
            <w:r>
              <w:rPr>
                <w:rFonts w:hint="eastAsia" w:ascii="微软雅黑" w:hAnsi="微软雅黑" w:eastAsia="微软雅黑" w:cs="微软雅黑"/>
                <w:caps w:val="0"/>
                <w:spacing w:val="0"/>
                <w:kern w:val="0"/>
                <w:sz w:val="21"/>
                <w:szCs w:val="21"/>
                <w:lang w:val="en-US" w:eastAsia="zh-CN" w:bidi="ar"/>
              </w:rPr>
              <w:t>51</w:t>
            </w:r>
          </w:p>
        </w:tc>
      </w:tr>
      <w:tr w14:paraId="16235F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842" w:type="dxa"/>
            <w:tcBorders>
              <w:top w:val="single" w:color="BBBBBB" w:sz="6" w:space="0"/>
              <w:left w:val="single" w:color="BBBBBB" w:sz="6" w:space="0"/>
              <w:bottom w:val="single" w:color="BBBBBB" w:sz="6" w:space="0"/>
              <w:right w:val="single" w:color="BBBBBB" w:sz="6" w:space="0"/>
            </w:tcBorders>
            <w:shd w:val="clear" w:color="auto" w:fill="auto"/>
            <w:tcMar>
              <w:top w:w="75" w:type="dxa"/>
              <w:left w:w="150" w:type="dxa"/>
              <w:bottom w:w="75" w:type="dxa"/>
              <w:right w:w="150" w:type="dxa"/>
            </w:tcMar>
            <w:vAlign w:val="center"/>
          </w:tcPr>
          <w:p w14:paraId="1BB27D49">
            <w:pPr>
              <w:keepNext w:val="0"/>
              <w:keepLines w:val="0"/>
              <w:pageBreakBefore w:val="0"/>
              <w:widowControl/>
              <w:suppressLineNumbers w:val="0"/>
              <w:kinsoku/>
              <w:overflowPunct/>
              <w:topLinePunct w:val="0"/>
              <w:autoSpaceDE/>
              <w:autoSpaceDN/>
              <w:bidi w:val="0"/>
              <w:adjustRightInd/>
              <w:snapToGrid/>
              <w:spacing w:line="500" w:lineRule="exact"/>
              <w:ind w:left="0" w:firstLine="0"/>
              <w:jc w:val="center"/>
              <w:textAlignment w:val="auto"/>
              <w:rPr>
                <w:rFonts w:hint="eastAsia" w:ascii="微软雅黑" w:hAnsi="微软雅黑" w:eastAsia="微软雅黑" w:cs="微软雅黑"/>
                <w:caps w:val="0"/>
                <w:spacing w:val="0"/>
                <w:sz w:val="21"/>
                <w:szCs w:val="21"/>
              </w:rPr>
            </w:pPr>
            <w:r>
              <w:rPr>
                <w:rFonts w:hint="eastAsia" w:ascii="微软雅黑" w:hAnsi="微软雅黑" w:eastAsia="微软雅黑" w:cs="微软雅黑"/>
                <w:caps w:val="0"/>
                <w:spacing w:val="0"/>
                <w:kern w:val="0"/>
                <w:sz w:val="21"/>
                <w:szCs w:val="21"/>
                <w:lang w:val="en-US" w:eastAsia="zh-CN" w:bidi="ar"/>
              </w:rPr>
              <w:t>4</w:t>
            </w:r>
          </w:p>
        </w:tc>
        <w:tc>
          <w:tcPr>
            <w:tcW w:w="1685" w:type="dxa"/>
            <w:tcBorders>
              <w:top w:val="single" w:color="BBBBBB" w:sz="6" w:space="0"/>
              <w:left w:val="single" w:color="BBBBBB" w:sz="6" w:space="0"/>
              <w:bottom w:val="single" w:color="BBBBBB" w:sz="6" w:space="0"/>
              <w:right w:val="single" w:color="BBBBBB" w:sz="6" w:space="0"/>
            </w:tcBorders>
            <w:shd w:val="clear" w:color="auto" w:fill="auto"/>
            <w:tcMar>
              <w:top w:w="75" w:type="dxa"/>
              <w:left w:w="150" w:type="dxa"/>
              <w:bottom w:w="75" w:type="dxa"/>
              <w:right w:w="150" w:type="dxa"/>
            </w:tcMar>
            <w:vAlign w:val="center"/>
          </w:tcPr>
          <w:p w14:paraId="52F35566">
            <w:pPr>
              <w:keepNext w:val="0"/>
              <w:keepLines w:val="0"/>
              <w:pageBreakBefore w:val="0"/>
              <w:widowControl/>
              <w:suppressLineNumbers w:val="0"/>
              <w:kinsoku/>
              <w:overflowPunct/>
              <w:topLinePunct w:val="0"/>
              <w:autoSpaceDE/>
              <w:autoSpaceDN/>
              <w:bidi w:val="0"/>
              <w:adjustRightInd/>
              <w:snapToGrid/>
              <w:spacing w:line="500" w:lineRule="exact"/>
              <w:ind w:left="0" w:firstLine="0"/>
              <w:jc w:val="left"/>
              <w:textAlignment w:val="auto"/>
              <w:rPr>
                <w:rFonts w:hint="eastAsia" w:ascii="微软雅黑" w:hAnsi="微软雅黑" w:eastAsia="微软雅黑" w:cs="微软雅黑"/>
                <w:caps w:val="0"/>
                <w:spacing w:val="0"/>
                <w:sz w:val="21"/>
                <w:szCs w:val="21"/>
              </w:rPr>
            </w:pPr>
            <w:r>
              <w:rPr>
                <w:rFonts w:hint="eastAsia" w:ascii="微软雅黑" w:hAnsi="微软雅黑" w:eastAsia="微软雅黑" w:cs="微软雅黑"/>
                <w:caps w:val="0"/>
                <w:spacing w:val="0"/>
                <w:kern w:val="0"/>
                <w:sz w:val="21"/>
                <w:szCs w:val="21"/>
                <w:lang w:val="en-US" w:eastAsia="zh-CN" w:bidi="ar"/>
              </w:rPr>
              <w:t>宣城市疾控中心理化检测试剂耗材采购项目</w:t>
            </w:r>
          </w:p>
        </w:tc>
        <w:tc>
          <w:tcPr>
            <w:tcW w:w="4907" w:type="dxa"/>
            <w:tcBorders>
              <w:top w:val="single" w:color="BBBBBB" w:sz="6" w:space="0"/>
              <w:left w:val="single" w:color="BBBBBB" w:sz="6" w:space="0"/>
              <w:bottom w:val="single" w:color="BBBBBB" w:sz="6" w:space="0"/>
              <w:right w:val="single" w:color="BBBBBB" w:sz="6" w:space="0"/>
            </w:tcBorders>
            <w:shd w:val="clear" w:color="auto" w:fill="auto"/>
            <w:tcMar>
              <w:top w:w="75" w:type="dxa"/>
              <w:left w:w="150" w:type="dxa"/>
              <w:bottom w:w="75" w:type="dxa"/>
              <w:right w:w="150" w:type="dxa"/>
            </w:tcMar>
            <w:vAlign w:val="center"/>
          </w:tcPr>
          <w:p w14:paraId="0E7E1C57">
            <w:pPr>
              <w:keepNext w:val="0"/>
              <w:keepLines w:val="0"/>
              <w:pageBreakBefore w:val="0"/>
              <w:widowControl/>
              <w:suppressLineNumbers w:val="0"/>
              <w:kinsoku/>
              <w:overflowPunct/>
              <w:topLinePunct w:val="0"/>
              <w:autoSpaceDE/>
              <w:autoSpaceDN/>
              <w:bidi w:val="0"/>
              <w:adjustRightInd/>
              <w:snapToGrid/>
              <w:spacing w:line="500" w:lineRule="exact"/>
              <w:ind w:left="0" w:firstLine="0"/>
              <w:jc w:val="left"/>
              <w:textAlignment w:val="auto"/>
              <w:rPr>
                <w:rFonts w:hint="eastAsia" w:ascii="微软雅黑" w:hAnsi="微软雅黑" w:eastAsia="微软雅黑" w:cs="微软雅黑"/>
                <w:caps w:val="0"/>
                <w:spacing w:val="0"/>
                <w:sz w:val="21"/>
                <w:szCs w:val="21"/>
              </w:rPr>
            </w:pPr>
            <w:r>
              <w:rPr>
                <w:rFonts w:hint="eastAsia" w:ascii="微软雅黑" w:hAnsi="微软雅黑" w:eastAsia="微软雅黑" w:cs="微软雅黑"/>
                <w:caps w:val="0"/>
                <w:spacing w:val="0"/>
                <w:kern w:val="0"/>
                <w:sz w:val="21"/>
                <w:szCs w:val="21"/>
                <w:lang w:val="en-US" w:eastAsia="zh-CN" w:bidi="ar"/>
              </w:rPr>
              <w:t>主要用于理化检验相关检测业务，可支撑食品安全风险监测、生活饮用水水质分析、雾霾等空气污染物检测、职业病危害因素检测、地方病筛查等多项理化检测项目。货物品类涵盖各类常用化学试剂、标准溶液、实验室专用气体，同时包含通用实验耗材、仪器配件及设备配套耗材，用于满足理化检验科日常样品检测、实验质控、设备运维等工作所需，以保障理化各项检测任务规范有序推进。</w:t>
            </w:r>
          </w:p>
        </w:tc>
        <w:tc>
          <w:tcPr>
            <w:tcW w:w="990" w:type="dxa"/>
            <w:tcBorders>
              <w:top w:val="single" w:color="BBBBBB" w:sz="6" w:space="0"/>
              <w:left w:val="single" w:color="BBBBBB" w:sz="6" w:space="0"/>
              <w:bottom w:val="single" w:color="BBBBBB" w:sz="6" w:space="0"/>
              <w:right w:val="single" w:color="BBBBBB" w:sz="6" w:space="0"/>
            </w:tcBorders>
            <w:shd w:val="clear" w:color="auto" w:fill="auto"/>
            <w:tcMar>
              <w:top w:w="75" w:type="dxa"/>
              <w:left w:w="150" w:type="dxa"/>
              <w:bottom w:w="75" w:type="dxa"/>
              <w:right w:w="150" w:type="dxa"/>
            </w:tcMar>
            <w:vAlign w:val="center"/>
          </w:tcPr>
          <w:p w14:paraId="081DB8C1">
            <w:pPr>
              <w:keepNext w:val="0"/>
              <w:keepLines w:val="0"/>
              <w:pageBreakBefore w:val="0"/>
              <w:widowControl/>
              <w:suppressLineNumbers w:val="0"/>
              <w:kinsoku/>
              <w:wordWrap w:val="0"/>
              <w:overflowPunct/>
              <w:topLinePunct w:val="0"/>
              <w:autoSpaceDE/>
              <w:autoSpaceDN/>
              <w:bidi w:val="0"/>
              <w:adjustRightInd/>
              <w:snapToGrid/>
              <w:spacing w:line="500" w:lineRule="exact"/>
              <w:ind w:left="0" w:firstLine="0"/>
              <w:jc w:val="right"/>
              <w:textAlignment w:val="auto"/>
              <w:rPr>
                <w:rFonts w:hint="eastAsia" w:ascii="微软雅黑" w:hAnsi="微软雅黑" w:eastAsia="微软雅黑" w:cs="微软雅黑"/>
                <w:caps w:val="0"/>
                <w:spacing w:val="0"/>
                <w:sz w:val="21"/>
                <w:szCs w:val="21"/>
              </w:rPr>
            </w:pPr>
            <w:r>
              <w:rPr>
                <w:rFonts w:hint="eastAsia" w:ascii="微软雅黑" w:hAnsi="微软雅黑" w:eastAsia="微软雅黑" w:cs="微软雅黑"/>
                <w:caps w:val="0"/>
                <w:spacing w:val="0"/>
                <w:kern w:val="0"/>
                <w:sz w:val="21"/>
                <w:szCs w:val="21"/>
                <w:lang w:val="en-US" w:eastAsia="zh-CN" w:bidi="ar"/>
              </w:rPr>
              <w:t>138</w:t>
            </w:r>
          </w:p>
        </w:tc>
      </w:tr>
    </w:tbl>
    <w:p w14:paraId="4923BD65">
      <w:pPr>
        <w:pStyle w:val="12"/>
        <w:spacing w:before="0" w:beforeAutospacing="0" w:after="0" w:afterAutospacing="0" w:line="550" w:lineRule="exact"/>
        <w:ind w:firstLine="560" w:firstLineChars="200"/>
        <w:jc w:val="both"/>
        <w:rPr>
          <w:rFonts w:ascii="仿宋" w:hAnsi="仿宋" w:eastAsia="仿宋" w:cs="仿宋"/>
          <w:sz w:val="28"/>
          <w:szCs w:val="28"/>
        </w:rPr>
      </w:pPr>
      <w:r>
        <w:rPr>
          <w:rFonts w:hint="eastAsia" w:ascii="仿宋" w:hAnsi="仿宋" w:eastAsia="仿宋" w:cs="仿宋"/>
          <w:sz w:val="28"/>
          <w:szCs w:val="28"/>
        </w:rPr>
        <w:t>采购需求：具体详见采购文件</w:t>
      </w:r>
    </w:p>
    <w:p w14:paraId="23F137C7">
      <w:pPr>
        <w:spacing w:line="56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合同履行期限：详见采购需求</w:t>
      </w:r>
    </w:p>
    <w:p w14:paraId="6439CA8B">
      <w:pPr>
        <w:pStyle w:val="12"/>
        <w:spacing w:before="0" w:beforeAutospacing="0" w:after="0" w:afterAutospacing="0" w:line="550" w:lineRule="exact"/>
        <w:ind w:firstLine="560" w:firstLineChars="200"/>
        <w:jc w:val="both"/>
        <w:rPr>
          <w:rFonts w:ascii="仿宋" w:hAnsi="仿宋" w:eastAsia="仿宋" w:cs="仿宋"/>
          <w:sz w:val="28"/>
          <w:szCs w:val="28"/>
        </w:rPr>
      </w:pPr>
      <w:r>
        <w:rPr>
          <w:rFonts w:hint="eastAsia" w:ascii="仿宋" w:hAnsi="仿宋" w:eastAsia="仿宋" w:cs="仿宋"/>
          <w:sz w:val="28"/>
          <w:szCs w:val="28"/>
        </w:rPr>
        <w:t>本项目不接受联合体响应。</w:t>
      </w:r>
    </w:p>
    <w:p w14:paraId="323D20E6">
      <w:pPr>
        <w:pStyle w:val="8"/>
        <w:widowControl/>
        <w:shd w:val="clear" w:color="auto" w:fill="FFFFFF"/>
        <w:spacing w:beforeAutospacing="0" w:afterAutospacing="0" w:line="555" w:lineRule="atLeast"/>
        <w:ind w:firstLine="555"/>
        <w:jc w:val="both"/>
        <w:rPr>
          <w:rFonts w:ascii="Segoe UI" w:hAnsi="Segoe UI" w:eastAsia="Segoe UI" w:cs="Segoe UI"/>
          <w:szCs w:val="24"/>
        </w:rPr>
      </w:pPr>
      <w:r>
        <w:rPr>
          <w:rFonts w:ascii="黑体" w:hAnsi="宋体" w:eastAsia="黑体" w:cs="黑体"/>
          <w:sz w:val="28"/>
          <w:szCs w:val="28"/>
          <w:shd w:val="clear" w:color="auto" w:fill="FFFFFF"/>
        </w:rPr>
        <w:t>二、申请人的资格要求：</w:t>
      </w:r>
    </w:p>
    <w:p w14:paraId="59377D79">
      <w:pPr>
        <w:widowControl/>
        <w:spacing w:line="550" w:lineRule="exact"/>
        <w:ind w:firstLine="560" w:firstLineChars="200"/>
        <w:rPr>
          <w:rFonts w:hint="eastAsia" w:ascii="仿宋" w:hAnsi="仿宋" w:eastAsia="仿宋" w:cs="仿宋"/>
          <w:sz w:val="28"/>
          <w:szCs w:val="28"/>
          <w:shd w:val="clear" w:color="auto" w:fill="FFFFFF"/>
        </w:rPr>
      </w:pPr>
      <w:r>
        <w:rPr>
          <w:rFonts w:hint="eastAsia" w:ascii="仿宋" w:hAnsi="仿宋" w:eastAsia="仿宋" w:cs="仿宋"/>
          <w:sz w:val="28"/>
          <w:szCs w:val="28"/>
          <w:shd w:val="clear" w:color="auto" w:fill="FFFFFF"/>
        </w:rPr>
        <w:t>4.本项目的特定资格要求：</w:t>
      </w:r>
    </w:p>
    <w:p w14:paraId="468559EA">
      <w:pPr>
        <w:widowControl/>
        <w:spacing w:line="550" w:lineRule="exact"/>
        <w:ind w:firstLine="560" w:firstLineChars="200"/>
        <w:rPr>
          <w:rFonts w:hint="eastAsia" w:ascii="仿宋" w:hAnsi="仿宋" w:eastAsia="仿宋" w:cs="仿宋"/>
          <w:color w:val="FF0000"/>
          <w:kern w:val="0"/>
          <w:sz w:val="28"/>
          <w:szCs w:val="28"/>
          <w:lang w:eastAsia="zh-CN" w:bidi="ar"/>
        </w:rPr>
      </w:pPr>
      <w:r>
        <w:rPr>
          <w:rFonts w:hint="eastAsia" w:ascii="仿宋" w:hAnsi="仿宋" w:eastAsia="仿宋" w:cs="仿宋"/>
          <w:sz w:val="28"/>
          <w:szCs w:val="28"/>
          <w:highlight w:val="green"/>
          <w:shd w:val="clear" w:color="auto" w:fill="FFFFFF"/>
          <w:lang w:eastAsia="zh-CN"/>
        </w:rPr>
        <w:t>共性要求：</w:t>
      </w:r>
      <w:r>
        <w:rPr>
          <w:rFonts w:hint="eastAsia" w:ascii="仿宋" w:hAnsi="仿宋" w:eastAsia="仿宋" w:cs="仿宋"/>
          <w:color w:val="FF0000"/>
          <w:sz w:val="28"/>
          <w:szCs w:val="28"/>
          <w:shd w:val="clear" w:color="auto" w:fill="FFFFFF"/>
        </w:rPr>
        <w:t>具有合法有效的营业执照；</w:t>
      </w:r>
      <w:r>
        <w:rPr>
          <w:rFonts w:hint="eastAsia" w:ascii="仿宋" w:hAnsi="仿宋" w:eastAsia="仿宋" w:cs="仿宋"/>
          <w:color w:val="FF0000"/>
          <w:kern w:val="0"/>
          <w:sz w:val="28"/>
          <w:szCs w:val="28"/>
          <w:lang w:bidi="ar"/>
        </w:rPr>
        <w:t>所投产品如为一类医疗器械，须具有有效的医疗器械备案凭证（或备案信息表）；所投产品如为二类或三类医疗器械，须具有有效的医疗器械注册证。所投产品涉及医疗器械的须具有医疗器械注册证（或备案凭证或备案信息表），投标文件中无需提供,合同签订后供货前，采购人有权向中标人要求提供查验,如不提供或提供不符合要求的，采购人有权追究中标人违约责任，由此产生的后果及责任由中标人承担。</w:t>
      </w:r>
    </w:p>
    <w:p w14:paraId="7F5E6301">
      <w:pPr>
        <w:widowControl/>
        <w:spacing w:line="550" w:lineRule="exact"/>
        <w:ind w:firstLine="560" w:firstLineChars="200"/>
        <w:rPr>
          <w:rFonts w:hint="eastAsia" w:ascii="仿宋" w:hAnsi="仿宋" w:eastAsia="仿宋" w:cs="仿宋"/>
          <w:color w:val="FF0000"/>
          <w:kern w:val="0"/>
          <w:sz w:val="28"/>
          <w:szCs w:val="28"/>
          <w:lang w:eastAsia="zh-CN" w:bidi="ar"/>
        </w:rPr>
      </w:pPr>
    </w:p>
    <w:p w14:paraId="2338FCB1">
      <w:pPr>
        <w:widowControl/>
        <w:spacing w:line="550" w:lineRule="exact"/>
        <w:ind w:firstLine="560" w:firstLineChars="200"/>
        <w:rPr>
          <w:rFonts w:hint="eastAsia" w:ascii="仿宋" w:hAnsi="仿宋" w:eastAsia="仿宋" w:cs="仿宋"/>
          <w:color w:val="FF0000"/>
          <w:kern w:val="0"/>
          <w:sz w:val="28"/>
          <w:szCs w:val="28"/>
          <w:highlight w:val="green"/>
          <w:lang w:eastAsia="zh-CN" w:bidi="ar"/>
        </w:rPr>
      </w:pPr>
      <w:r>
        <w:rPr>
          <w:rFonts w:hint="eastAsia" w:ascii="仿宋" w:hAnsi="仿宋" w:eastAsia="仿宋" w:cs="仿宋"/>
          <w:color w:val="FF0000"/>
          <w:kern w:val="0"/>
          <w:sz w:val="28"/>
          <w:szCs w:val="28"/>
          <w:highlight w:val="green"/>
          <w:lang w:eastAsia="zh-CN" w:bidi="ar"/>
        </w:rPr>
        <w:t>特别要求：</w:t>
      </w:r>
    </w:p>
    <w:p w14:paraId="0F9FEFB3">
      <w:pPr>
        <w:widowControl/>
        <w:spacing w:line="550" w:lineRule="exact"/>
        <w:ind w:firstLine="560" w:firstLineChars="200"/>
        <w:rPr>
          <w:rFonts w:hint="eastAsia" w:ascii="仿宋" w:hAnsi="仿宋" w:eastAsia="仿宋" w:cs="仿宋_GB2312"/>
          <w:color w:val="FF0000"/>
          <w:sz w:val="28"/>
          <w:szCs w:val="28"/>
          <w:highlight w:val="none"/>
        </w:rPr>
      </w:pPr>
      <w:r>
        <w:rPr>
          <w:rFonts w:hint="eastAsia" w:ascii="仿宋" w:hAnsi="仿宋" w:eastAsia="仿宋" w:cs="仿宋"/>
          <w:color w:val="FF0000"/>
          <w:kern w:val="0"/>
          <w:sz w:val="28"/>
          <w:szCs w:val="28"/>
          <w:lang w:eastAsia="zh-CN" w:bidi="ar"/>
        </w:rPr>
        <w:t>理化检测项目：</w:t>
      </w:r>
      <w:r>
        <w:rPr>
          <w:rFonts w:hint="eastAsia" w:ascii="仿宋" w:hAnsi="仿宋" w:eastAsia="仿宋" w:cs="仿宋_GB2312"/>
          <w:color w:val="FF0000"/>
          <w:sz w:val="28"/>
          <w:szCs w:val="28"/>
          <w:highlight w:val="none"/>
        </w:rPr>
        <w:t>供应商应具有非药品类易制毒经营许可证、危险化学品经营许可证及易制爆化学品经营许可证。</w:t>
      </w:r>
    </w:p>
    <w:p w14:paraId="34510082">
      <w:pPr>
        <w:widowControl/>
        <w:spacing w:line="550" w:lineRule="exact"/>
        <w:ind w:firstLine="560" w:firstLineChars="200"/>
        <w:rPr>
          <w:rFonts w:hint="eastAsia" w:ascii="@仿宋_GB2312" w:hAnsi="@仿宋_GB2312" w:eastAsia="仿宋" w:cs="Times New Roman"/>
          <w:color w:val="FF0000"/>
          <w:kern w:val="0"/>
          <w:sz w:val="28"/>
          <w:szCs w:val="20"/>
        </w:rPr>
      </w:pPr>
      <w:r>
        <w:rPr>
          <w:rFonts w:hint="eastAsia" w:ascii="仿宋" w:hAnsi="仿宋" w:eastAsia="仿宋" w:cs="Segoe UI"/>
          <w:color w:val="FF0000"/>
          <w:kern w:val="0"/>
          <w:sz w:val="28"/>
          <w:szCs w:val="28"/>
          <w:highlight w:val="none"/>
          <w:lang w:eastAsia="zh-CN"/>
        </w:rPr>
        <w:t>血清学检测项目：</w:t>
      </w:r>
      <w:r>
        <w:rPr>
          <w:rFonts w:hint="eastAsia" w:ascii="仿宋" w:hAnsi="仿宋" w:eastAsia="仿宋" w:cs="Segoe UI"/>
          <w:color w:val="FF0000"/>
          <w:kern w:val="0"/>
          <w:sz w:val="28"/>
          <w:szCs w:val="28"/>
          <w:highlight w:val="none"/>
        </w:rPr>
        <w:t>供应商具有药品经营许可证</w:t>
      </w:r>
      <w:r>
        <w:rPr>
          <w:rFonts w:hint="eastAsia" w:ascii="仿宋" w:hAnsi="仿宋" w:eastAsia="仿宋" w:cs="仿宋"/>
          <w:color w:val="FF0000"/>
          <w:kern w:val="0"/>
          <w:sz w:val="28"/>
          <w:szCs w:val="28"/>
          <w:highlight w:val="none"/>
          <w:lang w:bidi="ar"/>
        </w:rPr>
        <w:t>。</w:t>
      </w:r>
    </w:p>
    <w:p w14:paraId="2EAA5AB7">
      <w:pPr>
        <w:widowControl/>
        <w:spacing w:line="550" w:lineRule="exact"/>
        <w:ind w:firstLine="560" w:firstLineChars="200"/>
        <w:rPr>
          <w:rFonts w:hint="eastAsia" w:ascii="仿宋" w:hAnsi="仿宋" w:eastAsia="仿宋" w:cs="仿宋"/>
          <w:color w:val="FF0000"/>
          <w:kern w:val="0"/>
          <w:sz w:val="28"/>
          <w:szCs w:val="28"/>
          <w:lang w:bidi="ar"/>
        </w:rPr>
      </w:pPr>
    </w:p>
    <w:p w14:paraId="3FD9FA1C">
      <w:pPr>
        <w:pStyle w:val="8"/>
        <w:widowControl/>
        <w:shd w:val="clear" w:color="auto" w:fill="FFFFFF"/>
        <w:spacing w:beforeAutospacing="0" w:afterAutospacing="0" w:line="555" w:lineRule="atLeast"/>
        <w:ind w:firstLine="645"/>
        <w:jc w:val="both"/>
        <w:rPr>
          <w:rFonts w:ascii="仿宋" w:hAnsi="仿宋" w:eastAsia="仿宋" w:cs="仿宋"/>
          <w:sz w:val="28"/>
          <w:szCs w:val="28"/>
          <w:shd w:val="clear" w:color="auto" w:fill="FFFFFF"/>
        </w:rPr>
      </w:pPr>
    </w:p>
    <w:p w14:paraId="1E12E442">
      <w:pPr>
        <w:pStyle w:val="8"/>
        <w:widowControl/>
        <w:shd w:val="clear" w:color="auto" w:fill="FFFFFF"/>
        <w:spacing w:beforeAutospacing="0" w:afterAutospacing="0" w:line="555" w:lineRule="atLeast"/>
        <w:ind w:firstLine="555"/>
        <w:jc w:val="both"/>
        <w:rPr>
          <w:rFonts w:ascii="Segoe UI" w:hAnsi="Segoe UI" w:eastAsia="Segoe UI" w:cs="Segoe UI"/>
          <w:szCs w:val="24"/>
        </w:rPr>
      </w:pPr>
      <w:r>
        <w:rPr>
          <w:rFonts w:hint="eastAsia" w:ascii="黑体" w:hAnsi="宋体" w:eastAsia="黑体" w:cs="黑体"/>
          <w:sz w:val="28"/>
          <w:szCs w:val="28"/>
          <w:shd w:val="clear" w:color="auto" w:fill="FFFFFF"/>
        </w:rPr>
        <w:t>六、凡对本次采购提出询问，请按以下方式联系</w:t>
      </w:r>
    </w:p>
    <w:p w14:paraId="7082C164">
      <w:pPr>
        <w:pStyle w:val="8"/>
        <w:widowControl/>
        <w:shd w:val="clear" w:color="auto" w:fill="FFFFFF"/>
        <w:spacing w:beforeAutospacing="0" w:afterAutospacing="0" w:line="555" w:lineRule="atLeast"/>
        <w:ind w:firstLine="555"/>
        <w:jc w:val="both"/>
        <w:rPr>
          <w:rFonts w:ascii="仿宋" w:hAnsi="仿宋" w:eastAsia="仿宋" w:cs="仿宋"/>
          <w:sz w:val="28"/>
          <w:szCs w:val="28"/>
          <w:shd w:val="clear" w:color="auto" w:fill="FFFFFF"/>
        </w:rPr>
      </w:pPr>
      <w:r>
        <w:rPr>
          <w:rFonts w:hint="eastAsia" w:ascii="仿宋" w:hAnsi="仿宋" w:eastAsia="仿宋" w:cs="仿宋"/>
          <w:sz w:val="28"/>
          <w:szCs w:val="28"/>
          <w:shd w:val="clear" w:color="auto" w:fill="FFFFFF"/>
        </w:rPr>
        <w:t>1.采购人信息</w:t>
      </w:r>
    </w:p>
    <w:p w14:paraId="2954C986">
      <w:pPr>
        <w:pStyle w:val="8"/>
        <w:widowControl/>
        <w:shd w:val="clear" w:color="auto" w:fill="FFFFFF"/>
        <w:spacing w:beforeAutospacing="0" w:afterAutospacing="0" w:line="555" w:lineRule="atLeast"/>
        <w:ind w:firstLine="555"/>
        <w:jc w:val="both"/>
        <w:rPr>
          <w:rFonts w:ascii="仿宋" w:hAnsi="仿宋" w:eastAsia="仿宋" w:cs="仿宋"/>
          <w:sz w:val="28"/>
          <w:szCs w:val="28"/>
          <w:shd w:val="clear" w:color="auto" w:fill="FFFFFF"/>
        </w:rPr>
      </w:pPr>
      <w:r>
        <w:rPr>
          <w:rFonts w:hint="eastAsia" w:ascii="仿宋" w:hAnsi="仿宋" w:eastAsia="仿宋" w:cs="仿宋"/>
          <w:sz w:val="28"/>
          <w:szCs w:val="28"/>
          <w:shd w:val="clear" w:color="auto" w:fill="FFFFFF"/>
        </w:rPr>
        <w:t>名称：宣城市疾病预防控制中心</w:t>
      </w:r>
    </w:p>
    <w:p w14:paraId="5C0EFD35">
      <w:pPr>
        <w:pStyle w:val="8"/>
        <w:widowControl/>
        <w:shd w:val="clear" w:color="auto" w:fill="FFFFFF"/>
        <w:spacing w:beforeAutospacing="0" w:afterAutospacing="0" w:line="555" w:lineRule="atLeast"/>
        <w:ind w:firstLine="555"/>
        <w:jc w:val="both"/>
        <w:rPr>
          <w:rFonts w:ascii="仿宋" w:hAnsi="仿宋" w:eastAsia="仿宋" w:cs="仿宋"/>
          <w:color w:val="FF0000"/>
          <w:sz w:val="28"/>
          <w:szCs w:val="28"/>
          <w:shd w:val="clear" w:color="auto" w:fill="FFFFFF"/>
        </w:rPr>
      </w:pPr>
      <w:r>
        <w:rPr>
          <w:rFonts w:hint="eastAsia" w:ascii="仿宋" w:hAnsi="仿宋" w:eastAsia="仿宋" w:cs="仿宋"/>
          <w:sz w:val="28"/>
          <w:szCs w:val="28"/>
          <w:shd w:val="clear" w:color="auto" w:fill="FFFFFF"/>
        </w:rPr>
        <w:t>地址：宣城市薰化路</w:t>
      </w:r>
      <w:r>
        <w:rPr>
          <w:rFonts w:hint="eastAsia" w:ascii="仿宋" w:hAnsi="仿宋" w:eastAsia="仿宋" w:cs="仿宋"/>
          <w:sz w:val="28"/>
          <w:szCs w:val="28"/>
          <w:shd w:val="clear" w:color="auto" w:fill="FFFFFF"/>
          <w:lang w:val="en-US" w:eastAsia="zh-CN"/>
        </w:rPr>
        <w:t>702号</w:t>
      </w:r>
      <w:r>
        <w:rPr>
          <w:rFonts w:hint="eastAsia" w:ascii="仿宋" w:hAnsi="仿宋" w:eastAsia="仿宋" w:cs="仿宋"/>
          <w:sz w:val="28"/>
          <w:szCs w:val="28"/>
          <w:shd w:val="clear" w:color="auto" w:fill="FFFFFF"/>
        </w:rPr>
        <w:t>宣城市疾病预防控制中心</w:t>
      </w:r>
    </w:p>
    <w:p w14:paraId="50567E59">
      <w:pPr>
        <w:pStyle w:val="8"/>
        <w:widowControl/>
        <w:shd w:val="clear" w:color="auto" w:fill="FFFFFF"/>
        <w:spacing w:beforeAutospacing="0" w:afterAutospacing="0" w:line="555" w:lineRule="atLeast"/>
        <w:ind w:firstLine="555"/>
        <w:jc w:val="both"/>
        <w:rPr>
          <w:rFonts w:ascii="仿宋" w:hAnsi="仿宋" w:eastAsia="仿宋" w:cs="仿宋"/>
          <w:sz w:val="28"/>
          <w:szCs w:val="28"/>
          <w:shd w:val="clear" w:color="auto" w:fill="FFFFFF"/>
        </w:rPr>
      </w:pPr>
      <w:r>
        <w:rPr>
          <w:rFonts w:hint="eastAsia" w:ascii="仿宋" w:hAnsi="仿宋" w:eastAsia="仿宋" w:cs="仿宋"/>
          <w:sz w:val="28"/>
          <w:szCs w:val="28"/>
          <w:shd w:val="clear" w:color="auto" w:fill="FFFFFF"/>
        </w:rPr>
        <w:t>2.采购代理机构信息</w:t>
      </w:r>
    </w:p>
    <w:p w14:paraId="1ECF07D3">
      <w:pPr>
        <w:pStyle w:val="8"/>
        <w:widowControl/>
        <w:shd w:val="clear" w:color="auto" w:fill="FFFFFF"/>
        <w:spacing w:beforeAutospacing="0" w:afterAutospacing="0" w:line="555" w:lineRule="atLeast"/>
        <w:ind w:firstLine="555"/>
        <w:jc w:val="both"/>
        <w:rPr>
          <w:rFonts w:ascii="仿宋" w:hAnsi="仿宋" w:eastAsia="仿宋" w:cs="仿宋"/>
          <w:sz w:val="28"/>
          <w:szCs w:val="28"/>
          <w:shd w:val="clear" w:color="auto" w:fill="FFFFFF"/>
        </w:rPr>
      </w:pPr>
      <w:r>
        <w:rPr>
          <w:rFonts w:hint="eastAsia" w:ascii="仿宋" w:hAnsi="仿宋" w:eastAsia="仿宋" w:cs="仿宋"/>
          <w:sz w:val="28"/>
          <w:szCs w:val="28"/>
          <w:shd w:val="clear" w:color="auto" w:fill="FFFFFF"/>
        </w:rPr>
        <w:t>名称：宣城市公共资源交易有限公司</w:t>
      </w:r>
    </w:p>
    <w:p w14:paraId="4F0C1177">
      <w:pPr>
        <w:pStyle w:val="8"/>
        <w:widowControl/>
        <w:shd w:val="clear" w:color="auto" w:fill="FFFFFF"/>
        <w:spacing w:beforeAutospacing="0" w:afterAutospacing="0" w:line="555" w:lineRule="atLeast"/>
        <w:ind w:firstLine="555"/>
        <w:jc w:val="both"/>
        <w:rPr>
          <w:rFonts w:ascii="仿宋" w:hAnsi="仿宋" w:eastAsia="仿宋" w:cs="仿宋"/>
          <w:sz w:val="28"/>
          <w:szCs w:val="28"/>
          <w:shd w:val="clear" w:color="auto" w:fill="FFFFFF"/>
        </w:rPr>
      </w:pPr>
      <w:r>
        <w:rPr>
          <w:rFonts w:hint="eastAsia" w:ascii="仿宋" w:hAnsi="仿宋" w:eastAsia="仿宋" w:cs="仿宋"/>
          <w:sz w:val="28"/>
          <w:szCs w:val="28"/>
          <w:shd w:val="clear" w:color="auto" w:fill="FFFFFF"/>
        </w:rPr>
        <w:t>地址：宣城市梅园路香江金郡东区12栋3楼</w:t>
      </w:r>
    </w:p>
    <w:p w14:paraId="5423E12A">
      <w:pPr>
        <w:pStyle w:val="8"/>
        <w:widowControl/>
        <w:shd w:val="clear" w:color="auto" w:fill="FFFFFF"/>
        <w:spacing w:beforeAutospacing="0" w:afterAutospacing="0" w:line="555" w:lineRule="atLeast"/>
        <w:ind w:firstLine="555"/>
        <w:jc w:val="both"/>
        <w:rPr>
          <w:rFonts w:ascii="仿宋" w:hAnsi="仿宋" w:eastAsia="仿宋" w:cs="仿宋"/>
          <w:sz w:val="28"/>
          <w:szCs w:val="28"/>
          <w:shd w:val="clear" w:color="auto" w:fill="FFFFFF"/>
        </w:rPr>
      </w:pPr>
      <w:r>
        <w:rPr>
          <w:rFonts w:hint="eastAsia" w:ascii="仿宋" w:hAnsi="仿宋" w:eastAsia="仿宋" w:cs="仿宋"/>
          <w:sz w:val="28"/>
          <w:szCs w:val="28"/>
          <w:shd w:val="clear" w:color="auto" w:fill="FFFFFF"/>
        </w:rPr>
        <w:t>联系方式：0563-30132</w:t>
      </w:r>
      <w:r>
        <w:rPr>
          <w:rFonts w:hint="eastAsia" w:ascii="仿宋" w:hAnsi="仿宋" w:eastAsia="仿宋" w:cs="仿宋"/>
          <w:sz w:val="28"/>
          <w:szCs w:val="28"/>
          <w:shd w:val="clear" w:color="auto" w:fill="FFFFFF"/>
          <w:lang w:val="en-US" w:eastAsia="zh-CN"/>
        </w:rPr>
        <w:t>7</w:t>
      </w:r>
      <w:r>
        <w:rPr>
          <w:rFonts w:hint="eastAsia" w:ascii="仿宋" w:hAnsi="仿宋" w:eastAsia="仿宋" w:cs="仿宋"/>
          <w:sz w:val="28"/>
          <w:szCs w:val="28"/>
          <w:shd w:val="clear" w:color="auto" w:fill="FFFFFF"/>
        </w:rPr>
        <w:t>3</w:t>
      </w:r>
    </w:p>
    <w:p w14:paraId="5BD8B61E">
      <w:pPr>
        <w:pStyle w:val="8"/>
        <w:widowControl/>
        <w:shd w:val="clear" w:color="auto" w:fill="FFFFFF"/>
        <w:spacing w:beforeAutospacing="0" w:afterAutospacing="0" w:line="555" w:lineRule="atLeast"/>
        <w:ind w:firstLine="555"/>
        <w:jc w:val="both"/>
        <w:rPr>
          <w:rFonts w:ascii="仿宋" w:hAnsi="仿宋" w:eastAsia="仿宋" w:cs="仿宋"/>
          <w:sz w:val="28"/>
          <w:szCs w:val="28"/>
          <w:shd w:val="clear" w:color="auto" w:fill="FFFFFF"/>
        </w:rPr>
      </w:pPr>
      <w:r>
        <w:rPr>
          <w:rFonts w:hint="eastAsia" w:ascii="仿宋" w:hAnsi="仿宋" w:eastAsia="仿宋" w:cs="仿宋"/>
          <w:sz w:val="28"/>
          <w:szCs w:val="28"/>
          <w:shd w:val="clear" w:color="auto" w:fill="FFFFFF"/>
        </w:rPr>
        <w:t>3.项目联系方式</w:t>
      </w:r>
    </w:p>
    <w:p w14:paraId="1954D02C">
      <w:pPr>
        <w:pStyle w:val="8"/>
        <w:widowControl/>
        <w:shd w:val="clear" w:color="auto" w:fill="FFFFFF"/>
        <w:spacing w:beforeAutospacing="0" w:afterAutospacing="0" w:line="555" w:lineRule="atLeast"/>
        <w:ind w:firstLine="555"/>
        <w:jc w:val="both"/>
        <w:rPr>
          <w:rFonts w:ascii="仿宋" w:hAnsi="仿宋" w:eastAsia="仿宋" w:cs="仿宋"/>
          <w:color w:val="FF0000"/>
          <w:sz w:val="28"/>
          <w:szCs w:val="28"/>
          <w:shd w:val="clear" w:color="auto" w:fill="FFFFFF"/>
        </w:rPr>
      </w:pPr>
      <w:r>
        <w:rPr>
          <w:rFonts w:hint="eastAsia" w:ascii="仿宋" w:hAnsi="仿宋" w:eastAsia="仿宋" w:cs="仿宋"/>
          <w:sz w:val="28"/>
          <w:szCs w:val="28"/>
          <w:shd w:val="clear" w:color="auto" w:fill="FFFFFF"/>
        </w:rPr>
        <w:t>项目联系人：童科长、</w:t>
      </w:r>
      <w:r>
        <w:rPr>
          <w:rFonts w:hint="eastAsia" w:ascii="仿宋" w:hAnsi="仿宋" w:eastAsia="仿宋" w:cs="仿宋"/>
          <w:color w:val="FF0000"/>
          <w:sz w:val="28"/>
          <w:szCs w:val="28"/>
          <w:shd w:val="clear" w:color="auto" w:fill="FFFFFF"/>
          <w:lang w:val="en-US" w:eastAsia="zh-CN"/>
        </w:rPr>
        <w:t>谷</w:t>
      </w:r>
      <w:r>
        <w:rPr>
          <w:rFonts w:hint="eastAsia" w:ascii="仿宋" w:hAnsi="仿宋" w:eastAsia="仿宋" w:cs="仿宋"/>
          <w:color w:val="FF0000"/>
          <w:sz w:val="28"/>
          <w:szCs w:val="28"/>
          <w:shd w:val="clear" w:color="auto" w:fill="FFFFFF"/>
        </w:rPr>
        <w:t>工</w:t>
      </w:r>
    </w:p>
    <w:p w14:paraId="75CC6E7B">
      <w:pPr>
        <w:pStyle w:val="8"/>
        <w:widowControl/>
        <w:shd w:val="clear" w:color="auto" w:fill="FFFFFF"/>
        <w:spacing w:beforeAutospacing="0" w:afterAutospacing="0" w:line="555" w:lineRule="atLeast"/>
        <w:ind w:firstLine="555"/>
        <w:jc w:val="both"/>
        <w:rPr>
          <w:rFonts w:ascii="仿宋" w:hAnsi="仿宋" w:eastAsia="仿宋" w:cs="仿宋"/>
          <w:color w:val="FF0000"/>
          <w:sz w:val="28"/>
          <w:szCs w:val="28"/>
          <w:shd w:val="clear" w:color="auto" w:fill="FFFFFF"/>
        </w:rPr>
      </w:pPr>
      <w:r>
        <w:rPr>
          <w:rFonts w:hint="eastAsia" w:ascii="仿宋" w:hAnsi="仿宋" w:eastAsia="仿宋" w:cs="仿宋"/>
          <w:color w:val="000000" w:themeColor="text1"/>
          <w:sz w:val="28"/>
          <w:szCs w:val="28"/>
          <w:shd w:val="clear" w:color="auto" w:fill="FFFFFF"/>
          <w14:textFill>
            <w14:solidFill>
              <w14:schemeClr w14:val="tx1"/>
            </w14:solidFill>
          </w14:textFill>
        </w:rPr>
        <w:t>电话：0563-3391079、</w:t>
      </w:r>
      <w:r>
        <w:rPr>
          <w:rFonts w:hint="eastAsia" w:ascii="仿宋" w:hAnsi="仿宋" w:eastAsia="仿宋" w:cs="仿宋"/>
          <w:color w:val="FF0000"/>
          <w:sz w:val="28"/>
          <w:szCs w:val="28"/>
          <w:shd w:val="clear" w:color="auto" w:fill="FFFFFF"/>
        </w:rPr>
        <w:t>0563-30132</w:t>
      </w:r>
      <w:r>
        <w:rPr>
          <w:rFonts w:hint="eastAsia" w:ascii="仿宋" w:hAnsi="仿宋" w:eastAsia="仿宋" w:cs="仿宋"/>
          <w:color w:val="FF0000"/>
          <w:sz w:val="28"/>
          <w:szCs w:val="28"/>
          <w:shd w:val="clear" w:color="auto" w:fill="FFFFFF"/>
          <w:lang w:val="en-US" w:eastAsia="zh-CN"/>
        </w:rPr>
        <w:t>7</w:t>
      </w:r>
      <w:r>
        <w:rPr>
          <w:rFonts w:hint="eastAsia" w:ascii="仿宋" w:hAnsi="仿宋" w:eastAsia="仿宋" w:cs="仿宋"/>
          <w:color w:val="FF0000"/>
          <w:sz w:val="28"/>
          <w:szCs w:val="28"/>
          <w:shd w:val="clear" w:color="auto" w:fill="FFFFFF"/>
        </w:rPr>
        <w:t>3</w:t>
      </w:r>
    </w:p>
    <w:p w14:paraId="2A17925D">
      <w:pPr>
        <w:pStyle w:val="8"/>
        <w:widowControl/>
        <w:shd w:val="clear" w:color="auto" w:fill="FFFFFF"/>
        <w:spacing w:beforeAutospacing="0" w:afterAutospacing="0" w:line="555" w:lineRule="atLeast"/>
        <w:ind w:firstLine="555"/>
        <w:jc w:val="both"/>
        <w:rPr>
          <w:rFonts w:ascii="Segoe UI" w:hAnsi="Segoe UI" w:eastAsia="Segoe UI" w:cs="Segoe UI"/>
          <w:color w:val="000000" w:themeColor="text1"/>
          <w:szCs w:val="24"/>
          <w14:textFill>
            <w14:solidFill>
              <w14:schemeClr w14:val="tx1"/>
            </w14:solidFill>
          </w14:textFill>
        </w:rPr>
      </w:pPr>
      <w:r>
        <w:rPr>
          <w:rFonts w:hint="eastAsia" w:ascii="仿宋" w:hAnsi="仿宋" w:eastAsia="仿宋" w:cs="仿宋"/>
          <w:color w:val="000000" w:themeColor="text1"/>
          <w:sz w:val="28"/>
          <w:szCs w:val="28"/>
          <w:shd w:val="clear" w:color="auto" w:fill="FFFFFF"/>
          <w14:textFill>
            <w14:solidFill>
              <w14:schemeClr w14:val="tx1"/>
            </w14:solidFill>
          </w14:textFill>
        </w:rPr>
        <w:t>4.监督电话</w:t>
      </w:r>
    </w:p>
    <w:p w14:paraId="64968AED">
      <w:pPr>
        <w:pStyle w:val="8"/>
        <w:widowControl/>
        <w:shd w:val="clear" w:color="auto" w:fill="FFFFFF"/>
        <w:spacing w:beforeAutospacing="0" w:afterAutospacing="0" w:line="555" w:lineRule="atLeast"/>
        <w:ind w:firstLine="555"/>
        <w:jc w:val="both"/>
        <w:rPr>
          <w:rFonts w:ascii="仿宋" w:hAnsi="仿宋" w:eastAsia="仿宋" w:cs="仿宋"/>
          <w:color w:val="000000" w:themeColor="text1"/>
          <w:sz w:val="28"/>
          <w:szCs w:val="28"/>
          <w:shd w:val="clear" w:color="auto" w:fill="FFFFFF"/>
          <w14:textFill>
            <w14:solidFill>
              <w14:schemeClr w14:val="tx1"/>
            </w14:solidFill>
          </w14:textFill>
        </w:rPr>
      </w:pPr>
      <w:r>
        <w:rPr>
          <w:rFonts w:hint="eastAsia" w:ascii="仿宋" w:hAnsi="仿宋" w:eastAsia="仿宋" w:cs="仿宋"/>
          <w:color w:val="000000" w:themeColor="text1"/>
          <w:sz w:val="28"/>
          <w:szCs w:val="28"/>
          <w:shd w:val="clear" w:color="auto" w:fill="FFFFFF"/>
          <w14:textFill>
            <w14:solidFill>
              <w14:schemeClr w14:val="tx1"/>
            </w14:solidFill>
          </w14:textFill>
        </w:rPr>
        <w:t>电话：</w:t>
      </w:r>
    </w:p>
    <w:p w14:paraId="6DB5A707">
      <w:pPr>
        <w:spacing w:line="360" w:lineRule="auto"/>
        <w:rPr>
          <w:b/>
          <w:bCs/>
          <w:sz w:val="32"/>
          <w:szCs w:val="32"/>
        </w:rPr>
      </w:pPr>
    </w:p>
    <w:p w14:paraId="2D700C60">
      <w:pPr>
        <w:wordWrap w:val="0"/>
        <w:spacing w:after="312" w:afterLines="100" w:line="360" w:lineRule="auto"/>
        <w:jc w:val="center"/>
        <w:outlineLvl w:val="0"/>
        <w:rPr>
          <w:rFonts w:ascii="宋体" w:hAnsi="宋体" w:cs="宋体"/>
          <w:b/>
          <w:bCs/>
          <w:sz w:val="44"/>
          <w:szCs w:val="44"/>
        </w:rPr>
      </w:pPr>
      <w:bookmarkStart w:id="0" w:name="_Toc27586192"/>
      <w:bookmarkStart w:id="1" w:name="_Toc389"/>
      <w:bookmarkStart w:id="2" w:name="_Toc154085840"/>
      <w:r>
        <w:rPr>
          <w:rFonts w:hint="eastAsia" w:ascii="宋体" w:hAnsi="宋体" w:cs="宋体"/>
          <w:b/>
          <w:bCs/>
          <w:sz w:val="44"/>
          <w:szCs w:val="44"/>
        </w:rPr>
        <w:t>第三章 采购需求</w:t>
      </w:r>
      <w:bookmarkEnd w:id="0"/>
      <w:bookmarkEnd w:id="1"/>
      <w:bookmarkEnd w:id="2"/>
    </w:p>
    <w:p w14:paraId="7053F519">
      <w:pPr>
        <w:pStyle w:val="19"/>
        <w:ind w:right="-4" w:rightChars="-2" w:firstLine="0" w:firstLineChars="0"/>
        <w:jc w:val="center"/>
        <w:rPr>
          <w:rFonts w:ascii="宋体" w:hAnsi="宋体" w:cs="宋体"/>
          <w:szCs w:val="24"/>
        </w:rPr>
      </w:pPr>
      <w:r>
        <w:rPr>
          <w:rFonts w:hint="eastAsia" w:ascii="宋体" w:hAnsi="宋体" w:cs="宋体"/>
          <w:szCs w:val="24"/>
        </w:rPr>
        <w:t>（以下采购需求部分由采购人： 宣城市疾病预防控制中心提供并负责解释）</w:t>
      </w:r>
    </w:p>
    <w:p w14:paraId="34BCCA41">
      <w:pPr>
        <w:spacing w:line="550" w:lineRule="atLeast"/>
        <w:rPr>
          <w:b/>
          <w:sz w:val="24"/>
        </w:rPr>
      </w:pPr>
      <w:r>
        <w:rPr>
          <w:rFonts w:hAnsi="宋体"/>
          <w:b/>
          <w:sz w:val="24"/>
          <w:lang w:bidi="ar"/>
        </w:rPr>
        <w:t>前注：</w:t>
      </w:r>
    </w:p>
    <w:p w14:paraId="48542B18">
      <w:pPr>
        <w:spacing w:line="360" w:lineRule="auto"/>
        <w:ind w:firstLine="480" w:firstLineChars="200"/>
        <w:rPr>
          <w:sz w:val="24"/>
        </w:rPr>
      </w:pPr>
      <w:r>
        <w:rPr>
          <w:sz w:val="24"/>
          <w:lang w:bidi="ar"/>
        </w:rPr>
        <w:t>1.</w:t>
      </w:r>
      <w:r>
        <w:rPr>
          <w:rFonts w:hAnsi="宋体"/>
          <w:sz w:val="24"/>
          <w:lang w:bidi="ar"/>
        </w:rPr>
        <w:t>本采购需求中提出的服务方案仅为参考，如无明确限制，供应商可以进行优化，提供满足采购人实际需要的更优（或者性能实质上不低于的）服务方案，且此方案须经磋商</w:t>
      </w:r>
      <w:r>
        <w:rPr>
          <w:bCs/>
          <w:sz w:val="24"/>
          <w:szCs w:val="18"/>
          <w:lang w:bidi="ar"/>
        </w:rPr>
        <w:t>小组</w:t>
      </w:r>
      <w:r>
        <w:rPr>
          <w:rFonts w:hAnsi="宋体"/>
          <w:sz w:val="24"/>
          <w:lang w:bidi="ar"/>
        </w:rPr>
        <w:t>评审认可。</w:t>
      </w:r>
    </w:p>
    <w:p w14:paraId="48405C27">
      <w:pPr>
        <w:spacing w:line="360" w:lineRule="auto"/>
        <w:ind w:firstLine="480" w:firstLineChars="200"/>
        <w:rPr>
          <w:rFonts w:hAnsi="宋体"/>
          <w:sz w:val="24"/>
          <w:szCs w:val="18"/>
          <w:lang w:bidi="ar"/>
        </w:rPr>
      </w:pPr>
      <w:r>
        <w:rPr>
          <w:rFonts w:hint="eastAsia"/>
          <w:sz w:val="24"/>
          <w:szCs w:val="18"/>
          <w:lang w:bidi="ar"/>
        </w:rPr>
        <w:t>2</w:t>
      </w:r>
      <w:r>
        <w:rPr>
          <w:sz w:val="24"/>
          <w:szCs w:val="18"/>
          <w:lang w:bidi="ar"/>
        </w:rPr>
        <w:t>.</w:t>
      </w:r>
      <w:r>
        <w:rPr>
          <w:lang w:bidi="ar"/>
        </w:rPr>
        <w:t xml:space="preserve"> </w:t>
      </w:r>
      <w:r>
        <w:rPr>
          <w:rFonts w:hAnsi="宋体"/>
          <w:sz w:val="24"/>
          <w:szCs w:val="18"/>
          <w:lang w:bidi="ar"/>
        </w:rPr>
        <w:t>★条款须</w:t>
      </w:r>
      <w:r>
        <w:rPr>
          <w:bCs/>
          <w:sz w:val="24"/>
          <w:szCs w:val="18"/>
          <w:lang w:bidi="ar"/>
        </w:rPr>
        <w:t>满足</w:t>
      </w:r>
      <w:r>
        <w:rPr>
          <w:rFonts w:hAnsi="宋体"/>
          <w:sz w:val="24"/>
          <w:szCs w:val="18"/>
          <w:lang w:bidi="ar"/>
        </w:rPr>
        <w:t>或优于采购文件要求，否则响应无效</w:t>
      </w:r>
      <w:r>
        <w:rPr>
          <w:rFonts w:hint="eastAsia" w:hAnsi="宋体"/>
          <w:sz w:val="24"/>
          <w:szCs w:val="18"/>
          <w:lang w:bidi="ar"/>
        </w:rPr>
        <w:t>。</w:t>
      </w:r>
    </w:p>
    <w:p w14:paraId="77C56E3A">
      <w:pPr>
        <w:spacing w:line="360" w:lineRule="auto"/>
        <w:ind w:firstLine="482" w:firstLineChars="200"/>
        <w:rPr>
          <w:b/>
          <w:sz w:val="24"/>
          <w:szCs w:val="18"/>
        </w:rPr>
      </w:pPr>
      <w:r>
        <w:rPr>
          <w:rFonts w:hAnsi="宋体"/>
          <w:b/>
          <w:sz w:val="24"/>
          <w:szCs w:val="18"/>
          <w:lang w:bidi="ar"/>
        </w:rPr>
        <w:t>一、采购需求前附表</w:t>
      </w:r>
    </w:p>
    <w:tbl>
      <w:tblPr>
        <w:tblStyle w:val="9"/>
        <w:tblW w:w="87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0"/>
        <w:gridCol w:w="1588"/>
        <w:gridCol w:w="6469"/>
      </w:tblGrid>
      <w:tr w14:paraId="0B359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04C21444">
            <w:pPr>
              <w:pStyle w:val="20"/>
              <w:widowControl w:val="0"/>
              <w:adjustRightInd w:val="0"/>
              <w:snapToGrid w:val="0"/>
              <w:spacing w:before="0" w:beforeAutospacing="0" w:after="0" w:afterAutospacing="0"/>
              <w:rPr>
                <w:rFonts w:ascii="Times New Roman"/>
                <w:bCs w:val="0"/>
                <w:sz w:val="24"/>
              </w:rPr>
            </w:pPr>
            <w:r>
              <w:rPr>
                <w:rFonts w:hint="eastAsia" w:ascii="Times New Roman"/>
                <w:bCs w:val="0"/>
                <w:sz w:val="24"/>
              </w:rPr>
              <w:t>序号</w:t>
            </w:r>
          </w:p>
        </w:tc>
        <w:tc>
          <w:tcPr>
            <w:tcW w:w="1588" w:type="dxa"/>
            <w:tcBorders>
              <w:top w:val="single" w:color="auto" w:sz="4" w:space="0"/>
              <w:left w:val="single" w:color="auto" w:sz="4" w:space="0"/>
              <w:bottom w:val="single" w:color="auto" w:sz="4" w:space="0"/>
              <w:right w:val="single" w:color="auto" w:sz="4" w:space="0"/>
            </w:tcBorders>
            <w:vAlign w:val="center"/>
          </w:tcPr>
          <w:p w14:paraId="0ED25F38">
            <w:pPr>
              <w:pStyle w:val="20"/>
              <w:widowControl w:val="0"/>
              <w:adjustRightInd w:val="0"/>
              <w:snapToGrid w:val="0"/>
              <w:spacing w:before="0" w:beforeAutospacing="0" w:after="0" w:afterAutospacing="0"/>
              <w:rPr>
                <w:rFonts w:ascii="Times New Roman"/>
                <w:bCs w:val="0"/>
                <w:sz w:val="24"/>
              </w:rPr>
            </w:pPr>
            <w:r>
              <w:rPr>
                <w:rFonts w:ascii="Times New Roman"/>
                <w:bCs w:val="0"/>
                <w:sz w:val="24"/>
              </w:rPr>
              <w:t>条款名称</w:t>
            </w:r>
          </w:p>
        </w:tc>
        <w:tc>
          <w:tcPr>
            <w:tcW w:w="6469" w:type="dxa"/>
            <w:tcBorders>
              <w:top w:val="single" w:color="auto" w:sz="4" w:space="0"/>
              <w:left w:val="single" w:color="auto" w:sz="4" w:space="0"/>
              <w:bottom w:val="single" w:color="auto" w:sz="4" w:space="0"/>
              <w:right w:val="single" w:color="auto" w:sz="4" w:space="0"/>
            </w:tcBorders>
            <w:vAlign w:val="center"/>
          </w:tcPr>
          <w:p w14:paraId="10A618EA">
            <w:pPr>
              <w:pStyle w:val="20"/>
              <w:widowControl w:val="0"/>
              <w:adjustRightInd w:val="0"/>
              <w:snapToGrid w:val="0"/>
              <w:spacing w:before="0" w:beforeAutospacing="0" w:after="0" w:afterAutospacing="0"/>
              <w:rPr>
                <w:rFonts w:ascii="Times New Roman"/>
                <w:bCs w:val="0"/>
                <w:sz w:val="24"/>
              </w:rPr>
            </w:pPr>
            <w:r>
              <w:rPr>
                <w:rFonts w:ascii="Times New Roman"/>
                <w:bCs w:val="0"/>
                <w:sz w:val="24"/>
              </w:rPr>
              <w:t>内容、说明与要求</w:t>
            </w:r>
          </w:p>
        </w:tc>
      </w:tr>
      <w:tr w14:paraId="39C90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61120169">
            <w:pPr>
              <w:pStyle w:val="20"/>
              <w:widowControl w:val="0"/>
              <w:adjustRightInd w:val="0"/>
              <w:snapToGrid w:val="0"/>
              <w:spacing w:before="0" w:beforeAutospacing="0" w:after="0" w:afterAutospacing="0"/>
              <w:rPr>
                <w:rFonts w:ascii="Times New Roman"/>
                <w:b w:val="0"/>
                <w:bCs w:val="0"/>
                <w:kern w:val="2"/>
                <w:sz w:val="24"/>
                <w:szCs w:val="18"/>
              </w:rPr>
            </w:pPr>
            <w:r>
              <w:rPr>
                <w:rFonts w:hint="eastAsia" w:ascii="Times New Roman"/>
                <w:b w:val="0"/>
                <w:bCs w:val="0"/>
                <w:kern w:val="2"/>
                <w:sz w:val="24"/>
                <w:szCs w:val="18"/>
              </w:rPr>
              <w:t>1</w:t>
            </w:r>
          </w:p>
        </w:tc>
        <w:tc>
          <w:tcPr>
            <w:tcW w:w="1588" w:type="dxa"/>
            <w:tcBorders>
              <w:top w:val="single" w:color="auto" w:sz="4" w:space="0"/>
              <w:left w:val="single" w:color="auto" w:sz="4" w:space="0"/>
              <w:bottom w:val="single" w:color="auto" w:sz="4" w:space="0"/>
              <w:right w:val="single" w:color="auto" w:sz="4" w:space="0"/>
            </w:tcBorders>
            <w:vAlign w:val="center"/>
          </w:tcPr>
          <w:p w14:paraId="10A587B4">
            <w:pPr>
              <w:pStyle w:val="20"/>
              <w:widowControl w:val="0"/>
              <w:adjustRightInd w:val="0"/>
              <w:snapToGrid w:val="0"/>
              <w:spacing w:before="0" w:beforeAutospacing="0" w:after="0" w:afterAutospacing="0"/>
              <w:rPr>
                <w:rFonts w:ascii="Times New Roman"/>
                <w:b w:val="0"/>
                <w:bCs w:val="0"/>
                <w:kern w:val="2"/>
                <w:sz w:val="24"/>
                <w:szCs w:val="18"/>
              </w:rPr>
            </w:pPr>
            <w:r>
              <w:rPr>
                <w:rFonts w:ascii="Times New Roman"/>
                <w:b w:val="0"/>
                <w:bCs w:val="0"/>
                <w:kern w:val="2"/>
                <w:sz w:val="24"/>
                <w:szCs w:val="18"/>
              </w:rPr>
              <w:t>付款方式</w:t>
            </w:r>
          </w:p>
        </w:tc>
        <w:tc>
          <w:tcPr>
            <w:tcW w:w="6469" w:type="dxa"/>
            <w:tcBorders>
              <w:top w:val="single" w:color="auto" w:sz="4" w:space="0"/>
              <w:left w:val="single" w:color="auto" w:sz="4" w:space="0"/>
              <w:bottom w:val="single" w:color="auto" w:sz="4" w:space="0"/>
              <w:right w:val="single" w:color="auto" w:sz="4" w:space="0"/>
            </w:tcBorders>
            <w:vAlign w:val="center"/>
          </w:tcPr>
          <w:p w14:paraId="28E4B4CA">
            <w:pPr>
              <w:adjustRightInd w:val="0"/>
              <w:snapToGrid w:val="0"/>
              <w:spacing w:line="360" w:lineRule="auto"/>
              <w:rPr>
                <w:sz w:val="24"/>
                <w:szCs w:val="18"/>
              </w:rPr>
            </w:pPr>
            <w:r>
              <w:rPr>
                <w:rFonts w:hint="eastAsia" w:ascii="宋体" w:hAnsi="宋体" w:eastAsia="宋体" w:cs="Times New Roman"/>
                <w:color w:val="000000" w:themeColor="text1"/>
                <w:sz w:val="24"/>
                <w14:textFill>
                  <w14:solidFill>
                    <w14:schemeClr w14:val="tx1"/>
                  </w14:solidFill>
                </w14:textFill>
              </w:rPr>
              <w:t>合同签订后乙方根据甲方需求进行发货，每次供货的货物验收合格后，乙方开具发票，甲方付清所供货物的货款。</w:t>
            </w:r>
          </w:p>
        </w:tc>
      </w:tr>
      <w:tr w14:paraId="3375D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41D0C5FB">
            <w:pPr>
              <w:pStyle w:val="20"/>
              <w:widowControl w:val="0"/>
              <w:adjustRightInd w:val="0"/>
              <w:snapToGrid w:val="0"/>
              <w:spacing w:before="0" w:beforeAutospacing="0" w:after="0" w:afterAutospacing="0"/>
              <w:rPr>
                <w:rFonts w:ascii="Times New Roman"/>
                <w:b w:val="0"/>
                <w:bCs w:val="0"/>
                <w:kern w:val="2"/>
                <w:sz w:val="24"/>
                <w:szCs w:val="18"/>
              </w:rPr>
            </w:pPr>
            <w:r>
              <w:rPr>
                <w:rFonts w:hint="eastAsia" w:ascii="Times New Roman"/>
                <w:b w:val="0"/>
                <w:bCs w:val="0"/>
                <w:kern w:val="2"/>
                <w:sz w:val="24"/>
                <w:szCs w:val="18"/>
              </w:rPr>
              <w:t>2</w:t>
            </w:r>
          </w:p>
        </w:tc>
        <w:tc>
          <w:tcPr>
            <w:tcW w:w="1588" w:type="dxa"/>
            <w:tcBorders>
              <w:top w:val="single" w:color="auto" w:sz="4" w:space="0"/>
              <w:left w:val="single" w:color="auto" w:sz="4" w:space="0"/>
              <w:bottom w:val="single" w:color="auto" w:sz="4" w:space="0"/>
              <w:right w:val="single" w:color="auto" w:sz="4" w:space="0"/>
            </w:tcBorders>
            <w:vAlign w:val="center"/>
          </w:tcPr>
          <w:p w14:paraId="15F32EE4">
            <w:pPr>
              <w:pStyle w:val="20"/>
              <w:widowControl w:val="0"/>
              <w:adjustRightInd w:val="0"/>
              <w:snapToGrid w:val="0"/>
              <w:spacing w:before="0" w:beforeAutospacing="0" w:after="0" w:afterAutospacing="0"/>
              <w:rPr>
                <w:rFonts w:ascii="Times New Roman"/>
                <w:b w:val="0"/>
                <w:bCs w:val="0"/>
                <w:kern w:val="2"/>
                <w:sz w:val="24"/>
                <w:szCs w:val="18"/>
              </w:rPr>
            </w:pPr>
            <w:r>
              <w:rPr>
                <w:rFonts w:hint="eastAsia" w:ascii="Times New Roman"/>
                <w:b w:val="0"/>
                <w:bCs w:val="0"/>
                <w:kern w:val="2"/>
                <w:sz w:val="24"/>
                <w:szCs w:val="18"/>
              </w:rPr>
              <w:t>供货</w:t>
            </w:r>
            <w:r>
              <w:rPr>
                <w:rFonts w:ascii="Times New Roman"/>
                <w:b w:val="0"/>
                <w:bCs w:val="0"/>
                <w:kern w:val="2"/>
                <w:sz w:val="24"/>
                <w:szCs w:val="18"/>
              </w:rPr>
              <w:t>地点</w:t>
            </w:r>
          </w:p>
        </w:tc>
        <w:tc>
          <w:tcPr>
            <w:tcW w:w="6469" w:type="dxa"/>
            <w:tcBorders>
              <w:top w:val="single" w:color="auto" w:sz="4" w:space="0"/>
              <w:left w:val="single" w:color="auto" w:sz="4" w:space="0"/>
              <w:bottom w:val="single" w:color="auto" w:sz="4" w:space="0"/>
              <w:right w:val="single" w:color="auto" w:sz="4" w:space="0"/>
            </w:tcBorders>
            <w:vAlign w:val="center"/>
          </w:tcPr>
          <w:p w14:paraId="1FEF9852">
            <w:pPr>
              <w:widowControl/>
              <w:adjustRightInd w:val="0"/>
              <w:snapToGrid w:val="0"/>
              <w:spacing w:before="156" w:beforeLines="50" w:line="360" w:lineRule="auto"/>
              <w:rPr>
                <w:sz w:val="24"/>
                <w:szCs w:val="18"/>
              </w:rPr>
            </w:pPr>
            <w:r>
              <w:rPr>
                <w:rFonts w:hint="eastAsia" w:ascii="仿宋" w:hAnsi="仿宋" w:eastAsia="仿宋" w:cs="仿宋"/>
                <w:sz w:val="28"/>
                <w:szCs w:val="28"/>
                <w:highlight w:val="green"/>
                <w:shd w:val="clear" w:color="auto" w:fill="FFFFFF"/>
              </w:rPr>
              <w:t>宣城市薰化路</w:t>
            </w:r>
            <w:r>
              <w:rPr>
                <w:rFonts w:hint="eastAsia" w:ascii="仿宋" w:hAnsi="仿宋" w:eastAsia="仿宋" w:cs="仿宋"/>
                <w:sz w:val="28"/>
                <w:szCs w:val="28"/>
                <w:highlight w:val="green"/>
                <w:shd w:val="clear" w:color="auto" w:fill="FFFFFF"/>
                <w:lang w:val="en-US" w:eastAsia="zh-CN"/>
              </w:rPr>
              <w:t>702号</w:t>
            </w:r>
            <w:r>
              <w:rPr>
                <w:rFonts w:hint="eastAsia" w:ascii="仿宋" w:hAnsi="仿宋" w:eastAsia="仿宋" w:cs="仿宋"/>
                <w:sz w:val="28"/>
                <w:szCs w:val="28"/>
                <w:highlight w:val="green"/>
                <w:shd w:val="clear" w:color="auto" w:fill="FFFFFF"/>
              </w:rPr>
              <w:t>宣城市疾病预防控制中心</w:t>
            </w:r>
          </w:p>
        </w:tc>
      </w:tr>
      <w:tr w14:paraId="0544C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78EC7655">
            <w:pPr>
              <w:pStyle w:val="20"/>
              <w:widowControl w:val="0"/>
              <w:adjustRightInd w:val="0"/>
              <w:snapToGrid w:val="0"/>
              <w:spacing w:before="0" w:beforeAutospacing="0" w:after="0" w:afterAutospacing="0"/>
              <w:rPr>
                <w:rFonts w:ascii="Times New Roman"/>
                <w:b w:val="0"/>
                <w:sz w:val="24"/>
              </w:rPr>
            </w:pPr>
            <w:r>
              <w:rPr>
                <w:rFonts w:hint="eastAsia" w:ascii="Times New Roman"/>
                <w:b w:val="0"/>
                <w:sz w:val="24"/>
              </w:rPr>
              <w:t>3</w:t>
            </w:r>
          </w:p>
        </w:tc>
        <w:tc>
          <w:tcPr>
            <w:tcW w:w="1588" w:type="dxa"/>
            <w:tcBorders>
              <w:top w:val="single" w:color="auto" w:sz="4" w:space="0"/>
              <w:left w:val="single" w:color="auto" w:sz="4" w:space="0"/>
              <w:bottom w:val="single" w:color="auto" w:sz="4" w:space="0"/>
              <w:right w:val="single" w:color="auto" w:sz="4" w:space="0"/>
            </w:tcBorders>
            <w:vAlign w:val="center"/>
          </w:tcPr>
          <w:p w14:paraId="5A398F49">
            <w:pPr>
              <w:pStyle w:val="20"/>
              <w:widowControl w:val="0"/>
              <w:adjustRightInd w:val="0"/>
              <w:snapToGrid w:val="0"/>
              <w:spacing w:before="0" w:beforeAutospacing="0" w:after="0" w:afterAutospacing="0"/>
              <w:rPr>
                <w:rFonts w:ascii="Times New Roman"/>
                <w:b w:val="0"/>
                <w:sz w:val="24"/>
              </w:rPr>
            </w:pPr>
            <w:r>
              <w:rPr>
                <w:rFonts w:hint="eastAsia" w:ascii="Times New Roman"/>
                <w:b w:val="0"/>
                <w:sz w:val="24"/>
              </w:rPr>
              <w:t>供货期限</w:t>
            </w:r>
          </w:p>
        </w:tc>
        <w:tc>
          <w:tcPr>
            <w:tcW w:w="6469" w:type="dxa"/>
            <w:tcBorders>
              <w:top w:val="single" w:color="auto" w:sz="4" w:space="0"/>
              <w:left w:val="single" w:color="auto" w:sz="4" w:space="0"/>
              <w:bottom w:val="single" w:color="auto" w:sz="4" w:space="0"/>
              <w:right w:val="single" w:color="auto" w:sz="4" w:space="0"/>
            </w:tcBorders>
            <w:vAlign w:val="center"/>
          </w:tcPr>
          <w:p w14:paraId="551D1E59">
            <w:pPr>
              <w:widowControl/>
              <w:adjustRightInd w:val="0"/>
              <w:snapToGrid w:val="0"/>
              <w:spacing w:before="156" w:beforeLines="50" w:line="360" w:lineRule="auto"/>
              <w:rPr>
                <w:sz w:val="24"/>
                <w:highlight w:val="yellow"/>
              </w:rPr>
            </w:pPr>
            <w:r>
              <w:rPr>
                <w:rFonts w:hint="eastAsia" w:ascii="宋体" w:hAnsi="宋体" w:eastAsia="宋体" w:cs="Times New Roman"/>
                <w:color w:val="000000" w:themeColor="text1"/>
                <w:sz w:val="24"/>
                <w14:textFill>
                  <w14:solidFill>
                    <w14:schemeClr w14:val="tx1"/>
                  </w14:solidFill>
                </w14:textFill>
              </w:rPr>
              <w:t>合同签订后，按需供货，供货期限自</w:t>
            </w:r>
            <w:r>
              <w:rPr>
                <w:rFonts w:hint="eastAsia" w:ascii="宋体" w:hAnsi="宋体" w:cs="Times New Roman"/>
                <w:color w:val="FF0000"/>
                <w:sz w:val="24"/>
                <w:highlight w:val="green"/>
                <w:lang w:val="en-US" w:eastAsia="zh-CN"/>
              </w:rPr>
              <w:t>合同签订之日起</w:t>
            </w:r>
            <w:r>
              <w:rPr>
                <w:rFonts w:hint="eastAsia" w:ascii="宋体" w:hAnsi="宋体" w:eastAsia="宋体" w:cs="Times New Roman"/>
                <w:color w:val="000000" w:themeColor="text1"/>
                <w:sz w:val="24"/>
                <w14:textFill>
                  <w14:solidFill>
                    <w14:schemeClr w14:val="tx1"/>
                  </w14:solidFill>
                </w14:textFill>
              </w:rPr>
              <w:t>至202</w:t>
            </w:r>
            <w:r>
              <w:rPr>
                <w:rFonts w:hint="eastAsia" w:ascii="宋体" w:hAnsi="宋体" w:cs="Times New Roman"/>
                <w:color w:val="000000" w:themeColor="text1"/>
                <w:sz w:val="24"/>
                <w:lang w:val="en-US" w:eastAsia="zh-CN"/>
                <w14:textFill>
                  <w14:solidFill>
                    <w14:schemeClr w14:val="tx1"/>
                  </w14:solidFill>
                </w14:textFill>
              </w:rPr>
              <w:t>7</w:t>
            </w:r>
            <w:r>
              <w:rPr>
                <w:rFonts w:hint="eastAsia" w:ascii="宋体" w:hAnsi="宋体" w:eastAsia="宋体" w:cs="Times New Roman"/>
                <w:color w:val="000000" w:themeColor="text1"/>
                <w:sz w:val="24"/>
                <w14:textFill>
                  <w14:solidFill>
                    <w14:schemeClr w14:val="tx1"/>
                  </w14:solidFill>
                </w14:textFill>
              </w:rPr>
              <w:t>年</w:t>
            </w:r>
            <w:r>
              <w:rPr>
                <w:rFonts w:hint="eastAsia" w:ascii="宋体" w:hAnsi="宋体" w:cs="Times New Roman"/>
                <w:color w:val="000000" w:themeColor="text1"/>
                <w:sz w:val="24"/>
                <w:lang w:val="en-US" w:eastAsia="zh-CN"/>
                <w14:textFill>
                  <w14:solidFill>
                    <w14:schemeClr w14:val="tx1"/>
                  </w14:solidFill>
                </w14:textFill>
              </w:rPr>
              <w:t>7</w:t>
            </w:r>
            <w:r>
              <w:rPr>
                <w:rFonts w:hint="eastAsia" w:ascii="宋体" w:hAnsi="宋体" w:eastAsia="宋体" w:cs="Times New Roman"/>
                <w:color w:val="000000" w:themeColor="text1"/>
                <w:sz w:val="24"/>
                <w14:textFill>
                  <w14:solidFill>
                    <w14:schemeClr w14:val="tx1"/>
                  </w14:solidFill>
                </w14:textFill>
              </w:rPr>
              <w:t>月3</w:t>
            </w:r>
            <w:r>
              <w:rPr>
                <w:rFonts w:hint="eastAsia" w:ascii="宋体" w:hAnsi="宋体" w:cs="Times New Roman"/>
                <w:color w:val="000000" w:themeColor="text1"/>
                <w:sz w:val="24"/>
                <w:lang w:val="en-US" w:eastAsia="zh-CN"/>
                <w14:textFill>
                  <w14:solidFill>
                    <w14:schemeClr w14:val="tx1"/>
                  </w14:solidFill>
                </w14:textFill>
              </w:rPr>
              <w:t>1</w:t>
            </w:r>
            <w:r>
              <w:rPr>
                <w:rFonts w:hint="eastAsia" w:ascii="宋体" w:hAnsi="宋体" w:eastAsia="宋体" w:cs="Times New Roman"/>
                <w:color w:val="000000" w:themeColor="text1"/>
                <w:sz w:val="24"/>
                <w14:textFill>
                  <w14:solidFill>
                    <w14:schemeClr w14:val="tx1"/>
                  </w14:solidFill>
                </w14:textFill>
              </w:rPr>
              <w:t>日止。</w:t>
            </w:r>
          </w:p>
        </w:tc>
      </w:tr>
      <w:tr w14:paraId="66CF7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0"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533849F9">
            <w:pPr>
              <w:pStyle w:val="20"/>
              <w:widowControl w:val="0"/>
              <w:adjustRightInd w:val="0"/>
              <w:snapToGrid w:val="0"/>
              <w:spacing w:before="0" w:beforeAutospacing="0" w:after="0" w:afterAutospacing="0"/>
              <w:rPr>
                <w:rFonts w:ascii="Times New Roman"/>
                <w:b w:val="0"/>
                <w:sz w:val="24"/>
              </w:rPr>
            </w:pPr>
            <w:r>
              <w:rPr>
                <w:rFonts w:hint="eastAsia" w:ascii="Times New Roman"/>
                <w:b w:val="0"/>
                <w:sz w:val="24"/>
              </w:rPr>
              <w:t>4</w:t>
            </w:r>
          </w:p>
        </w:tc>
        <w:tc>
          <w:tcPr>
            <w:tcW w:w="1588" w:type="dxa"/>
            <w:tcBorders>
              <w:top w:val="single" w:color="auto" w:sz="4" w:space="0"/>
              <w:left w:val="single" w:color="auto" w:sz="4" w:space="0"/>
              <w:bottom w:val="single" w:color="auto" w:sz="4" w:space="0"/>
              <w:right w:val="single" w:color="auto" w:sz="4" w:space="0"/>
            </w:tcBorders>
            <w:vAlign w:val="center"/>
          </w:tcPr>
          <w:p w14:paraId="051881A2">
            <w:pPr>
              <w:pStyle w:val="20"/>
              <w:widowControl w:val="0"/>
              <w:adjustRightInd w:val="0"/>
              <w:snapToGrid w:val="0"/>
              <w:spacing w:before="0" w:beforeAutospacing="0" w:after="0" w:afterAutospacing="0"/>
              <w:rPr>
                <w:rFonts w:ascii="Times New Roman"/>
                <w:b w:val="0"/>
                <w:sz w:val="24"/>
                <w:highlight w:val="yellow"/>
              </w:rPr>
            </w:pPr>
            <w:r>
              <w:rPr>
                <w:rFonts w:ascii="Times New Roman"/>
                <w:b w:val="0"/>
                <w:sz w:val="24"/>
                <w:highlight w:val="yellow"/>
              </w:rPr>
              <w:t>其他</w:t>
            </w:r>
          </w:p>
        </w:tc>
        <w:tc>
          <w:tcPr>
            <w:tcW w:w="6469" w:type="dxa"/>
            <w:tcBorders>
              <w:top w:val="single" w:color="auto" w:sz="4" w:space="0"/>
              <w:left w:val="single" w:color="auto" w:sz="4" w:space="0"/>
              <w:bottom w:val="single" w:color="auto" w:sz="4" w:space="0"/>
              <w:right w:val="single" w:color="auto" w:sz="4" w:space="0"/>
            </w:tcBorders>
            <w:vAlign w:val="center"/>
          </w:tcPr>
          <w:p w14:paraId="5C7BFF21">
            <w:pPr>
              <w:widowControl/>
              <w:numPr>
                <w:ilvl w:val="-1"/>
                <w:numId w:val="0"/>
              </w:numPr>
              <w:kinsoku w:val="0"/>
              <w:autoSpaceDE w:val="0"/>
              <w:autoSpaceDN w:val="0"/>
              <w:adjustRightInd w:val="0"/>
              <w:snapToGrid w:val="0"/>
              <w:spacing w:line="360" w:lineRule="auto"/>
              <w:textAlignment w:val="baseline"/>
              <w:rPr>
                <w:rFonts w:hint="eastAsia"/>
                <w:sz w:val="24"/>
              </w:rPr>
            </w:pPr>
            <w:r>
              <w:rPr>
                <w:rFonts w:hint="eastAsia"/>
                <w:sz w:val="24"/>
                <w:lang w:val="en-US" w:eastAsia="zh-CN"/>
              </w:rPr>
              <w:t>1.</w:t>
            </w:r>
            <w:r>
              <w:rPr>
                <w:rFonts w:hint="eastAsia"/>
                <w:sz w:val="24"/>
              </w:rPr>
              <w:t>对需求中的货物参数，供应商响应即承诺，若发现供货与实际参数不符，视为虚假响应。</w:t>
            </w:r>
          </w:p>
          <w:p w14:paraId="0DA4824E">
            <w:pPr>
              <w:widowControl/>
              <w:numPr>
                <w:ilvl w:val="0"/>
                <w:numId w:val="0"/>
              </w:numPr>
              <w:kinsoku w:val="0"/>
              <w:autoSpaceDE w:val="0"/>
              <w:autoSpaceDN w:val="0"/>
              <w:adjustRightInd w:val="0"/>
              <w:snapToGrid w:val="0"/>
              <w:spacing w:line="360" w:lineRule="auto"/>
              <w:textAlignment w:val="baseline"/>
              <w:rPr>
                <w:rFonts w:hint="eastAsia"/>
                <w:color w:val="C00000"/>
                <w:sz w:val="24"/>
                <w:lang w:val="en-US" w:eastAsia="zh-CN"/>
              </w:rPr>
            </w:pPr>
            <w:r>
              <w:rPr>
                <w:rFonts w:hint="eastAsia"/>
                <w:color w:val="C00000"/>
                <w:sz w:val="24"/>
                <w:lang w:val="en-US" w:eastAsia="zh-CN"/>
              </w:rPr>
              <w:t>2.免费质保期为一年。</w:t>
            </w:r>
          </w:p>
          <w:p w14:paraId="01F536D7">
            <w:pPr>
              <w:widowControl/>
              <w:numPr>
                <w:ilvl w:val="0"/>
                <w:numId w:val="0"/>
              </w:numPr>
              <w:kinsoku w:val="0"/>
              <w:autoSpaceDE w:val="0"/>
              <w:autoSpaceDN w:val="0"/>
              <w:adjustRightInd w:val="0"/>
              <w:snapToGrid w:val="0"/>
              <w:spacing w:line="360" w:lineRule="auto"/>
              <w:textAlignment w:val="baseline"/>
              <w:rPr>
                <w:rFonts w:hint="eastAsia"/>
                <w:color w:val="C00000"/>
                <w:sz w:val="24"/>
                <w:lang w:val="en-US" w:eastAsia="zh-CN"/>
              </w:rPr>
            </w:pPr>
            <w:r>
              <w:rPr>
                <w:rFonts w:hint="eastAsia"/>
                <w:color w:val="C00000"/>
                <w:sz w:val="24"/>
                <w:lang w:val="en-US" w:eastAsia="zh-CN"/>
              </w:rPr>
              <w:t>3.需求中的货物数量为预估数量，最终货款的结算，以采购方实际需求为准。</w:t>
            </w:r>
          </w:p>
          <w:p w14:paraId="25B4B160">
            <w:pPr>
              <w:widowControl/>
              <w:numPr>
                <w:ilvl w:val="0"/>
                <w:numId w:val="0"/>
              </w:numPr>
              <w:kinsoku w:val="0"/>
              <w:autoSpaceDE w:val="0"/>
              <w:autoSpaceDN w:val="0"/>
              <w:adjustRightInd w:val="0"/>
              <w:snapToGrid w:val="0"/>
              <w:spacing w:line="360" w:lineRule="auto"/>
              <w:textAlignment w:val="baseline"/>
              <w:rPr>
                <w:rFonts w:hint="default"/>
                <w:color w:val="C00000"/>
                <w:sz w:val="24"/>
                <w:lang w:val="en-US" w:eastAsia="zh-CN"/>
              </w:rPr>
            </w:pPr>
          </w:p>
        </w:tc>
      </w:tr>
    </w:tbl>
    <w:p w14:paraId="475AE80D">
      <w:pPr>
        <w:autoSpaceDE w:val="0"/>
        <w:autoSpaceDN w:val="0"/>
        <w:adjustRightInd w:val="0"/>
        <w:spacing w:line="540" w:lineRule="atLeast"/>
        <w:jc w:val="left"/>
        <w:outlineLvl w:val="1"/>
        <w:rPr>
          <w:rFonts w:ascii="宋体" w:hAnsi="Arial" w:cs="宋体"/>
          <w:b/>
          <w:kern w:val="0"/>
          <w:sz w:val="23"/>
          <w:szCs w:val="23"/>
          <w:lang w:val="zh-CN"/>
        </w:rPr>
      </w:pPr>
      <w:r>
        <w:rPr>
          <w:rFonts w:hint="eastAsia" w:ascii="宋体" w:hAnsi="Arial" w:cs="宋体"/>
          <w:b/>
          <w:kern w:val="0"/>
          <w:sz w:val="23"/>
          <w:szCs w:val="23"/>
          <w:lang w:val="zh-CN"/>
        </w:rPr>
        <w:t>详细评价表</w:t>
      </w:r>
    </w:p>
    <w:p w14:paraId="54DE65E8">
      <w:pPr>
        <w:ind w:right="-4" w:rightChars="-2"/>
        <w:rPr>
          <w:rFonts w:hint="eastAsia" w:ascii="宋体" w:hAnsi="宋体" w:cs="宋体"/>
          <w:b/>
          <w:sz w:val="24"/>
          <w:szCs w:val="24"/>
        </w:rPr>
      </w:pPr>
    </w:p>
    <w:tbl>
      <w:tblPr>
        <w:tblStyle w:val="9"/>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972"/>
        <w:gridCol w:w="987"/>
        <w:gridCol w:w="5984"/>
        <w:gridCol w:w="555"/>
      </w:tblGrid>
      <w:tr w14:paraId="3CC2AD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blHeader/>
        </w:trPr>
        <w:tc>
          <w:tcPr>
            <w:tcW w:w="0" w:type="auto"/>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5CF55566">
            <w:pPr>
              <w:keepNext w:val="0"/>
              <w:keepLines w:val="0"/>
              <w:widowControl/>
              <w:suppressLineNumbers w:val="0"/>
              <w:jc w:val="left"/>
              <w:rPr>
                <w:b/>
                <w:bCs/>
                <w:sz w:val="24"/>
                <w:szCs w:val="24"/>
              </w:rPr>
            </w:pPr>
            <w:r>
              <w:rPr>
                <w:rFonts w:ascii="宋体" w:hAnsi="宋体" w:eastAsia="宋体" w:cs="宋体"/>
                <w:b/>
                <w:bCs/>
                <w:kern w:val="0"/>
                <w:sz w:val="24"/>
                <w:szCs w:val="24"/>
                <w:lang w:val="en-US" w:eastAsia="zh-CN" w:bidi="ar"/>
              </w:rPr>
              <w:t>类别</w:t>
            </w:r>
          </w:p>
        </w:tc>
        <w:tc>
          <w:tcPr>
            <w:tcW w:w="0" w:type="auto"/>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04417724">
            <w:pPr>
              <w:keepNext w:val="0"/>
              <w:keepLines w:val="0"/>
              <w:widowControl/>
              <w:suppressLineNumbers w:val="0"/>
              <w:jc w:val="left"/>
              <w:rPr>
                <w:b/>
                <w:bCs/>
                <w:sz w:val="24"/>
                <w:szCs w:val="24"/>
              </w:rPr>
            </w:pPr>
            <w:r>
              <w:rPr>
                <w:rFonts w:ascii="宋体" w:hAnsi="宋体" w:eastAsia="宋体" w:cs="宋体"/>
                <w:b/>
                <w:bCs/>
                <w:kern w:val="0"/>
                <w:sz w:val="24"/>
                <w:szCs w:val="24"/>
                <w:lang w:val="en-US" w:eastAsia="zh-CN" w:bidi="ar"/>
              </w:rPr>
              <w:t>评分内容</w:t>
            </w:r>
          </w:p>
        </w:tc>
        <w:tc>
          <w:tcPr>
            <w:tcW w:w="0" w:type="auto"/>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2BE716F9">
            <w:pPr>
              <w:keepNext w:val="0"/>
              <w:keepLines w:val="0"/>
              <w:widowControl/>
              <w:suppressLineNumbers w:val="0"/>
              <w:jc w:val="center"/>
              <w:rPr>
                <w:b/>
                <w:bCs/>
                <w:sz w:val="24"/>
                <w:szCs w:val="24"/>
              </w:rPr>
            </w:pPr>
            <w:r>
              <w:rPr>
                <w:rFonts w:ascii="宋体" w:hAnsi="宋体" w:eastAsia="宋体" w:cs="宋体"/>
                <w:b/>
                <w:bCs/>
                <w:kern w:val="0"/>
                <w:sz w:val="24"/>
                <w:szCs w:val="24"/>
                <w:lang w:val="en-US" w:eastAsia="zh-CN" w:bidi="ar"/>
              </w:rPr>
              <w:t>评分标准</w:t>
            </w:r>
          </w:p>
        </w:tc>
        <w:tc>
          <w:tcPr>
            <w:tcW w:w="0" w:type="auto"/>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0D09C94F">
            <w:pPr>
              <w:keepNext w:val="0"/>
              <w:keepLines w:val="0"/>
              <w:widowControl/>
              <w:suppressLineNumbers w:val="0"/>
              <w:jc w:val="left"/>
              <w:rPr>
                <w:b/>
                <w:bCs/>
                <w:sz w:val="24"/>
                <w:szCs w:val="24"/>
              </w:rPr>
            </w:pPr>
            <w:r>
              <w:rPr>
                <w:rFonts w:ascii="宋体" w:hAnsi="宋体" w:eastAsia="宋体" w:cs="宋体"/>
                <w:b/>
                <w:bCs/>
                <w:kern w:val="0"/>
                <w:sz w:val="24"/>
                <w:szCs w:val="24"/>
                <w:lang w:val="en-US" w:eastAsia="zh-CN" w:bidi="ar"/>
              </w:rPr>
              <w:t>分值范围</w:t>
            </w:r>
          </w:p>
        </w:tc>
      </w:tr>
      <w:tr w14:paraId="0DBF78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0" w:type="auto"/>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4C9BD2D5">
            <w:pPr>
              <w:keepNext w:val="0"/>
              <w:keepLines w:val="0"/>
              <w:widowControl/>
              <w:suppressLineNumbers w:val="0"/>
              <w:jc w:val="left"/>
              <w:rPr>
                <w:sz w:val="24"/>
                <w:szCs w:val="24"/>
              </w:rPr>
            </w:pPr>
            <w:r>
              <w:rPr>
                <w:rStyle w:val="11"/>
                <w:rFonts w:ascii="宋体" w:hAnsi="宋体" w:eastAsia="宋体" w:cs="宋体"/>
                <w:kern w:val="0"/>
                <w:sz w:val="24"/>
                <w:szCs w:val="24"/>
                <w:lang w:val="en-US" w:eastAsia="zh-CN" w:bidi="ar"/>
              </w:rPr>
              <w:t>技术资信分（70 分）</w:t>
            </w:r>
          </w:p>
        </w:tc>
        <w:tc>
          <w:tcPr>
            <w:tcW w:w="0" w:type="auto"/>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25E580A2">
            <w:pPr>
              <w:keepNext w:val="0"/>
              <w:keepLines w:val="0"/>
              <w:widowControl/>
              <w:suppressLineNumbers w:val="0"/>
              <w:jc w:val="left"/>
              <w:rPr>
                <w:sz w:val="24"/>
                <w:szCs w:val="24"/>
              </w:rPr>
            </w:pPr>
            <w:r>
              <w:rPr>
                <w:rFonts w:ascii="宋体" w:hAnsi="宋体" w:eastAsia="宋体" w:cs="宋体"/>
                <w:kern w:val="0"/>
                <w:sz w:val="24"/>
                <w:szCs w:val="24"/>
                <w:lang w:val="en-US" w:eastAsia="zh-CN" w:bidi="ar"/>
              </w:rPr>
              <w:t>所投产品技术参数及要求响应情况</w:t>
            </w:r>
          </w:p>
        </w:tc>
        <w:tc>
          <w:tcPr>
            <w:tcW w:w="0" w:type="auto"/>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66B7B11C">
            <w:pPr>
              <w:keepNext w:val="0"/>
              <w:keepLines w:val="0"/>
              <w:widowControl/>
              <w:suppressLineNumbers w:val="0"/>
              <w:jc w:val="left"/>
              <w:rPr>
                <w:sz w:val="24"/>
                <w:szCs w:val="24"/>
              </w:rPr>
            </w:pPr>
            <w:r>
              <w:rPr>
                <w:rFonts w:ascii="宋体" w:hAnsi="宋体" w:eastAsia="宋体" w:cs="宋体"/>
                <w:color w:val="FF0000"/>
                <w:kern w:val="0"/>
                <w:sz w:val="24"/>
                <w:szCs w:val="24"/>
                <w:lang w:val="en-US" w:eastAsia="zh-CN" w:bidi="ar"/>
              </w:rPr>
              <w:t>根据投标人所投产品的详细技术参数、技术证明材料、技术偏离情况进行打分。本次采购标注 “●” 的技术参数共 1</w:t>
            </w:r>
            <w:r>
              <w:rPr>
                <w:rFonts w:hint="eastAsia" w:ascii="宋体" w:hAnsi="宋体" w:eastAsia="宋体" w:cs="宋体"/>
                <w:color w:val="FF0000"/>
                <w:kern w:val="0"/>
                <w:sz w:val="24"/>
                <w:szCs w:val="24"/>
                <w:lang w:val="en-US" w:eastAsia="zh-CN" w:bidi="ar"/>
              </w:rPr>
              <w:t>0</w:t>
            </w:r>
            <w:r>
              <w:rPr>
                <w:rFonts w:ascii="宋体" w:hAnsi="宋体" w:eastAsia="宋体" w:cs="宋体"/>
                <w:color w:val="FF0000"/>
                <w:kern w:val="0"/>
                <w:sz w:val="24"/>
                <w:szCs w:val="24"/>
                <w:lang w:val="en-US" w:eastAsia="zh-CN" w:bidi="ar"/>
              </w:rPr>
              <w:t xml:space="preserve"> 项</w:t>
            </w:r>
            <w:r>
              <w:rPr>
                <w:rFonts w:hint="eastAsia" w:ascii="宋体" w:hAnsi="宋体" w:eastAsia="宋体" w:cs="宋体"/>
                <w:color w:val="FF0000"/>
                <w:kern w:val="0"/>
                <w:sz w:val="24"/>
                <w:szCs w:val="24"/>
                <w:lang w:val="en-US" w:eastAsia="zh-CN" w:bidi="ar"/>
              </w:rPr>
              <w:t>（3分每项）</w:t>
            </w:r>
            <w:r>
              <w:rPr>
                <w:rFonts w:ascii="宋体" w:hAnsi="宋体" w:eastAsia="宋体" w:cs="宋体"/>
                <w:color w:val="FF0000"/>
                <w:kern w:val="0"/>
                <w:sz w:val="24"/>
                <w:szCs w:val="24"/>
                <w:lang w:val="en-US" w:eastAsia="zh-CN" w:bidi="ar"/>
              </w:rPr>
              <w:t>，</w:t>
            </w:r>
            <w:r>
              <w:rPr>
                <w:rFonts w:hint="eastAsia" w:ascii="宋体" w:hAnsi="宋体" w:eastAsia="宋体" w:cs="宋体"/>
                <w:color w:val="FF0000"/>
                <w:kern w:val="0"/>
                <w:sz w:val="24"/>
                <w:szCs w:val="24"/>
                <w:lang w:val="en-US" w:eastAsia="zh-CN" w:bidi="ar"/>
              </w:rPr>
              <w:t>共计</w:t>
            </w:r>
            <w:r>
              <w:rPr>
                <w:rFonts w:ascii="宋体" w:hAnsi="宋体" w:eastAsia="宋体" w:cs="宋体"/>
                <w:color w:val="FF0000"/>
                <w:kern w:val="0"/>
                <w:sz w:val="24"/>
                <w:szCs w:val="24"/>
                <w:lang w:val="en-US" w:eastAsia="zh-CN" w:bidi="ar"/>
              </w:rPr>
              <w:t xml:space="preserve"> </w:t>
            </w:r>
            <w:r>
              <w:rPr>
                <w:rFonts w:hint="eastAsia" w:ascii="宋体" w:hAnsi="宋体" w:eastAsia="宋体" w:cs="宋体"/>
                <w:color w:val="FF0000"/>
                <w:kern w:val="0"/>
                <w:sz w:val="24"/>
                <w:szCs w:val="24"/>
                <w:lang w:val="en-US" w:eastAsia="zh-CN" w:bidi="ar"/>
              </w:rPr>
              <w:t>30</w:t>
            </w:r>
            <w:r>
              <w:rPr>
                <w:rFonts w:ascii="宋体" w:hAnsi="宋体" w:eastAsia="宋体" w:cs="宋体"/>
                <w:color w:val="FF0000"/>
                <w:kern w:val="0"/>
                <w:sz w:val="24"/>
                <w:szCs w:val="24"/>
                <w:lang w:val="en-US" w:eastAsia="zh-CN" w:bidi="ar"/>
              </w:rPr>
              <w:t xml:space="preserve"> 分。1.标注 “●” 参数，每有一项不满足（或负偏离）的，扣 </w:t>
            </w:r>
            <w:r>
              <w:rPr>
                <w:rFonts w:hint="eastAsia" w:ascii="宋体" w:hAnsi="宋体" w:eastAsia="宋体" w:cs="宋体"/>
                <w:color w:val="FF0000"/>
                <w:kern w:val="0"/>
                <w:sz w:val="24"/>
                <w:szCs w:val="24"/>
                <w:lang w:val="en-US" w:eastAsia="zh-CN" w:bidi="ar"/>
              </w:rPr>
              <w:t>3</w:t>
            </w:r>
            <w:r>
              <w:rPr>
                <w:rFonts w:ascii="宋体" w:hAnsi="宋体" w:eastAsia="宋体" w:cs="宋体"/>
                <w:color w:val="FF0000"/>
                <w:kern w:val="0"/>
                <w:sz w:val="24"/>
                <w:szCs w:val="24"/>
                <w:lang w:val="en-US" w:eastAsia="zh-CN" w:bidi="ar"/>
              </w:rPr>
              <w:t xml:space="preserve">分，扣完本项总分 </w:t>
            </w:r>
            <w:r>
              <w:rPr>
                <w:rFonts w:hint="eastAsia" w:ascii="宋体" w:hAnsi="宋体" w:eastAsia="宋体" w:cs="宋体"/>
                <w:color w:val="FF0000"/>
                <w:kern w:val="0"/>
                <w:sz w:val="24"/>
                <w:szCs w:val="24"/>
                <w:lang w:val="en-US" w:eastAsia="zh-CN" w:bidi="ar"/>
              </w:rPr>
              <w:t>30</w:t>
            </w:r>
            <w:r>
              <w:rPr>
                <w:rFonts w:ascii="宋体" w:hAnsi="宋体" w:eastAsia="宋体" w:cs="宋体"/>
                <w:color w:val="FF0000"/>
                <w:kern w:val="0"/>
                <w:sz w:val="24"/>
                <w:szCs w:val="24"/>
                <w:lang w:val="en-US" w:eastAsia="zh-CN" w:bidi="ar"/>
              </w:rPr>
              <w:t xml:space="preserve"> 分为止。2. 未标注 “●” 的产品参数，每有一项不满足（或负偏离）的，扣 </w:t>
            </w:r>
            <w:r>
              <w:rPr>
                <w:rFonts w:hint="eastAsia" w:ascii="宋体" w:hAnsi="宋体" w:eastAsia="宋体" w:cs="宋体"/>
                <w:color w:val="FF0000"/>
                <w:kern w:val="0"/>
                <w:sz w:val="24"/>
                <w:szCs w:val="24"/>
                <w:lang w:val="en-US" w:eastAsia="zh-CN" w:bidi="ar"/>
              </w:rPr>
              <w:t>1</w:t>
            </w:r>
            <w:r>
              <w:rPr>
                <w:rFonts w:ascii="宋体" w:hAnsi="宋体" w:eastAsia="宋体" w:cs="宋体"/>
                <w:color w:val="FF0000"/>
                <w:kern w:val="0"/>
                <w:sz w:val="24"/>
                <w:szCs w:val="24"/>
                <w:lang w:val="en-US" w:eastAsia="zh-CN" w:bidi="ar"/>
              </w:rPr>
              <w:t>分，扣完本项对应预留分值为止。注：采购需求中标注 “●” 的产品参数以提供的证明材料作为评审依据，响应招标参数要求，但未提供证明材料或提供的材料不满足要求的，视为负偏离。未标注 “●” 的产品参数，响应即承诺，无须提供证明材料</w:t>
            </w:r>
            <w:r>
              <w:rPr>
                <w:rFonts w:hint="eastAsia" w:ascii="宋体" w:hAnsi="宋体"/>
                <w:color w:val="FF0000"/>
                <w:sz w:val="24"/>
                <w:lang w:eastAsia="zh-CN"/>
              </w:rPr>
              <w:t>（参数中明确要求提供材料的除外）</w:t>
            </w:r>
            <w:r>
              <w:rPr>
                <w:rFonts w:ascii="宋体" w:hAnsi="宋体" w:eastAsia="宋体" w:cs="宋体"/>
                <w:color w:val="FF0000"/>
                <w:kern w:val="0"/>
                <w:sz w:val="24"/>
                <w:szCs w:val="24"/>
                <w:lang w:val="en-US" w:eastAsia="zh-CN" w:bidi="ar"/>
              </w:rPr>
              <w:t>。</w:t>
            </w:r>
          </w:p>
        </w:tc>
        <w:tc>
          <w:tcPr>
            <w:tcW w:w="0" w:type="auto"/>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115DAF78">
            <w:pPr>
              <w:keepNext w:val="0"/>
              <w:keepLines w:val="0"/>
              <w:widowControl/>
              <w:suppressLineNumbers w:val="0"/>
              <w:jc w:val="left"/>
              <w:rPr>
                <w:rFonts w:hint="default" w:eastAsiaTheme="minorEastAsia"/>
                <w:sz w:val="24"/>
                <w:szCs w:val="24"/>
                <w:lang w:val="en-US" w:eastAsia="zh-CN"/>
              </w:rPr>
            </w:pPr>
            <w:r>
              <w:rPr>
                <w:rFonts w:hint="eastAsia"/>
                <w:sz w:val="24"/>
                <w:szCs w:val="24"/>
                <w:lang w:val="en-US" w:eastAsia="zh-CN"/>
              </w:rPr>
              <w:t>30</w:t>
            </w:r>
          </w:p>
        </w:tc>
      </w:tr>
      <w:tr w14:paraId="7FD21F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0" w:type="auto"/>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18742F52">
            <w:pPr>
              <w:jc w:val="left"/>
              <w:rPr>
                <w:rFonts w:hint="eastAsia" w:ascii="宋体"/>
                <w:sz w:val="24"/>
                <w:szCs w:val="24"/>
              </w:rPr>
            </w:pPr>
          </w:p>
        </w:tc>
        <w:tc>
          <w:tcPr>
            <w:tcW w:w="0" w:type="auto"/>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6BA9074A">
            <w:pPr>
              <w:keepNext w:val="0"/>
              <w:keepLines w:val="0"/>
              <w:widowControl/>
              <w:suppressLineNumbers w:val="0"/>
              <w:jc w:val="left"/>
              <w:rPr>
                <w:sz w:val="24"/>
                <w:szCs w:val="24"/>
              </w:rPr>
            </w:pPr>
            <w:r>
              <w:rPr>
                <w:rFonts w:ascii="宋体" w:hAnsi="宋体" w:eastAsia="宋体" w:cs="宋体"/>
                <w:kern w:val="0"/>
                <w:sz w:val="24"/>
                <w:szCs w:val="24"/>
                <w:lang w:val="en-US" w:eastAsia="zh-CN" w:bidi="ar"/>
              </w:rPr>
              <w:t>项目方案</w:t>
            </w:r>
          </w:p>
        </w:tc>
        <w:tc>
          <w:tcPr>
            <w:tcW w:w="0" w:type="auto"/>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068619FC">
            <w:pPr>
              <w:keepNext w:val="0"/>
              <w:keepLines w:val="0"/>
              <w:widowControl/>
              <w:numPr>
                <w:ilvl w:val="0"/>
                <w:numId w:val="2"/>
              </w:numPr>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 xml:space="preserve">项目供货方案：本项共 </w:t>
            </w:r>
            <w:r>
              <w:rPr>
                <w:rFonts w:hint="eastAsia" w:ascii="宋体" w:hAnsi="宋体" w:eastAsia="宋体" w:cs="宋体"/>
                <w:kern w:val="0"/>
                <w:sz w:val="24"/>
                <w:szCs w:val="24"/>
                <w:lang w:val="en-US" w:eastAsia="zh-CN" w:bidi="ar"/>
              </w:rPr>
              <w:t>6</w:t>
            </w:r>
            <w:r>
              <w:rPr>
                <w:rFonts w:ascii="宋体" w:hAnsi="宋体" w:eastAsia="宋体" w:cs="宋体"/>
                <w:kern w:val="0"/>
                <w:sz w:val="24"/>
                <w:szCs w:val="24"/>
                <w:lang w:val="en-US" w:eastAsia="zh-CN" w:bidi="ar"/>
              </w:rPr>
              <w:t xml:space="preserve"> 分，每符合一项得 </w:t>
            </w:r>
            <w:r>
              <w:rPr>
                <w:rFonts w:hint="eastAsia" w:ascii="宋体" w:hAnsi="宋体" w:eastAsia="宋体" w:cs="宋体"/>
                <w:kern w:val="0"/>
                <w:sz w:val="24"/>
                <w:szCs w:val="24"/>
                <w:lang w:val="en-US" w:eastAsia="zh-CN" w:bidi="ar"/>
              </w:rPr>
              <w:t>2</w:t>
            </w:r>
            <w:r>
              <w:rPr>
                <w:rFonts w:ascii="宋体" w:hAnsi="宋体" w:eastAsia="宋体" w:cs="宋体"/>
                <w:kern w:val="0"/>
                <w:sz w:val="24"/>
                <w:szCs w:val="24"/>
                <w:lang w:val="en-US" w:eastAsia="zh-CN" w:bidi="ar"/>
              </w:rPr>
              <w:t xml:space="preserve"> 分，不符合不得分。供货方案包含但不限于：①明确供货配送人员和分工，制定</w:t>
            </w:r>
            <w:r>
              <w:rPr>
                <w:rFonts w:hint="eastAsia" w:ascii="宋体" w:hAnsi="宋体" w:eastAsia="宋体" w:cs="宋体"/>
                <w:kern w:val="0"/>
                <w:sz w:val="24"/>
                <w:szCs w:val="24"/>
                <w:lang w:val="en-US" w:eastAsia="zh-CN" w:bidi="ar"/>
              </w:rPr>
              <w:t>针对该项目</w:t>
            </w:r>
            <w:r>
              <w:rPr>
                <w:rFonts w:ascii="宋体" w:hAnsi="宋体" w:eastAsia="宋体" w:cs="宋体"/>
                <w:kern w:val="0"/>
                <w:sz w:val="24"/>
                <w:szCs w:val="24"/>
                <w:lang w:val="en-US" w:eastAsia="zh-CN" w:bidi="ar"/>
              </w:rPr>
              <w:t>操作性强，内容完整</w:t>
            </w:r>
            <w:r>
              <w:rPr>
                <w:rFonts w:hint="eastAsia" w:ascii="宋体" w:hAnsi="宋体" w:eastAsia="宋体" w:cs="宋体"/>
                <w:kern w:val="0"/>
                <w:sz w:val="24"/>
                <w:szCs w:val="24"/>
                <w:lang w:val="en-US" w:eastAsia="zh-CN" w:bidi="ar"/>
              </w:rPr>
              <w:t>翔实</w:t>
            </w:r>
            <w:r>
              <w:rPr>
                <w:rFonts w:ascii="宋体" w:hAnsi="宋体" w:eastAsia="宋体" w:cs="宋体"/>
                <w:kern w:val="0"/>
                <w:sz w:val="24"/>
                <w:szCs w:val="24"/>
                <w:lang w:val="en-US" w:eastAsia="zh-CN" w:bidi="ar"/>
              </w:rPr>
              <w:t>，表述清晰的供货保障方案；</w:t>
            </w:r>
            <w:r>
              <w:rPr>
                <w:rFonts w:ascii="宋体" w:hAnsi="宋体" w:eastAsia="宋体" w:cs="宋体"/>
                <w:color w:val="FF0000"/>
                <w:kern w:val="0"/>
                <w:sz w:val="24"/>
                <w:szCs w:val="24"/>
                <w:lang w:val="en-US" w:eastAsia="zh-CN" w:bidi="ar"/>
              </w:rPr>
              <w:t xml:space="preserve">②承诺常规采购下单后 </w:t>
            </w:r>
            <w:r>
              <w:rPr>
                <w:rFonts w:hint="eastAsia" w:ascii="宋体" w:hAnsi="宋体" w:eastAsia="宋体" w:cs="宋体"/>
                <w:color w:val="FF0000"/>
                <w:kern w:val="0"/>
                <w:sz w:val="24"/>
                <w:szCs w:val="24"/>
                <w:lang w:val="en-US" w:eastAsia="zh-CN" w:bidi="ar"/>
              </w:rPr>
              <w:t>5</w:t>
            </w:r>
            <w:r>
              <w:rPr>
                <w:rFonts w:ascii="宋体" w:hAnsi="宋体" w:eastAsia="宋体" w:cs="宋体"/>
                <w:color w:val="FF0000"/>
                <w:kern w:val="0"/>
                <w:sz w:val="24"/>
                <w:szCs w:val="24"/>
                <w:lang w:val="en-US" w:eastAsia="zh-CN" w:bidi="ar"/>
              </w:rPr>
              <w:t xml:space="preserve"> </w:t>
            </w:r>
            <w:r>
              <w:rPr>
                <w:rFonts w:hint="eastAsia" w:ascii="宋体" w:hAnsi="宋体" w:eastAsia="宋体" w:cs="宋体"/>
                <w:color w:val="FF0000"/>
                <w:kern w:val="0"/>
                <w:sz w:val="24"/>
                <w:szCs w:val="24"/>
                <w:lang w:val="en-US" w:eastAsia="zh-CN" w:bidi="ar"/>
              </w:rPr>
              <w:t>个工作日</w:t>
            </w:r>
            <w:r>
              <w:rPr>
                <w:rFonts w:ascii="宋体" w:hAnsi="宋体" w:eastAsia="宋体" w:cs="宋体"/>
                <w:color w:val="FF0000"/>
                <w:kern w:val="0"/>
                <w:sz w:val="24"/>
                <w:szCs w:val="24"/>
                <w:lang w:val="en-US" w:eastAsia="zh-CN" w:bidi="ar"/>
              </w:rPr>
              <w:t>内完成配货送达，应急检测需求</w:t>
            </w:r>
            <w:r>
              <w:rPr>
                <w:rFonts w:hint="eastAsia" w:ascii="宋体" w:hAnsi="宋体" w:eastAsia="宋体" w:cs="宋体"/>
                <w:color w:val="FF0000"/>
                <w:kern w:val="0"/>
                <w:sz w:val="24"/>
                <w:szCs w:val="24"/>
                <w:lang w:val="en-US" w:eastAsia="zh-CN" w:bidi="ar"/>
              </w:rPr>
              <w:t>24</w:t>
            </w:r>
            <w:r>
              <w:rPr>
                <w:rFonts w:ascii="宋体" w:hAnsi="宋体" w:eastAsia="宋体" w:cs="宋体"/>
                <w:color w:val="FF0000"/>
                <w:kern w:val="0"/>
                <w:sz w:val="24"/>
                <w:szCs w:val="24"/>
                <w:lang w:val="en-US" w:eastAsia="zh-CN" w:bidi="ar"/>
              </w:rPr>
              <w:t>小时内送达</w:t>
            </w:r>
            <w:r>
              <w:rPr>
                <w:rFonts w:hint="eastAsia" w:ascii="宋体" w:hAnsi="宋体" w:eastAsia="宋体" w:cs="宋体"/>
                <w:color w:val="FF0000"/>
                <w:kern w:val="0"/>
                <w:sz w:val="24"/>
                <w:szCs w:val="24"/>
                <w:lang w:val="en-US" w:eastAsia="zh-CN" w:bidi="ar"/>
              </w:rPr>
              <w:t>指定地点</w:t>
            </w:r>
            <w:r>
              <w:rPr>
                <w:rFonts w:ascii="宋体" w:hAnsi="宋体" w:eastAsia="宋体" w:cs="宋体"/>
                <w:color w:val="FF0000"/>
                <w:kern w:val="0"/>
                <w:sz w:val="24"/>
                <w:szCs w:val="24"/>
                <w:lang w:val="en-US" w:eastAsia="zh-CN" w:bidi="ar"/>
              </w:rPr>
              <w:t>；</w:t>
            </w:r>
            <w:r>
              <w:rPr>
                <w:rFonts w:ascii="宋体" w:hAnsi="宋体" w:eastAsia="宋体" w:cs="宋体"/>
                <w:kern w:val="0"/>
                <w:sz w:val="24"/>
                <w:szCs w:val="24"/>
                <w:lang w:val="en-US" w:eastAsia="zh-CN" w:bidi="ar"/>
              </w:rPr>
              <w:t>③明确所供产品剩余保质期不低于总保质期的 2/3，杜绝临期产品。</w:t>
            </w:r>
          </w:p>
          <w:p w14:paraId="5E3D97C1">
            <w:pPr>
              <w:keepNext w:val="0"/>
              <w:keepLines w:val="0"/>
              <w:widowControl/>
              <w:numPr>
                <w:ilvl w:val="0"/>
                <w:numId w:val="2"/>
              </w:numPr>
              <w:suppressLineNumbers w:val="0"/>
              <w:jc w:val="left"/>
              <w:rPr>
                <w:sz w:val="24"/>
                <w:szCs w:val="24"/>
              </w:rPr>
            </w:pPr>
            <w:r>
              <w:rPr>
                <w:rFonts w:ascii="宋体" w:hAnsi="宋体" w:eastAsia="宋体" w:cs="宋体"/>
                <w:kern w:val="0"/>
                <w:sz w:val="24"/>
                <w:szCs w:val="24"/>
                <w:lang w:val="en-US" w:eastAsia="zh-CN" w:bidi="ar"/>
              </w:rPr>
              <w:t xml:space="preserve">应急措施方案：本项共 </w:t>
            </w:r>
            <w:r>
              <w:rPr>
                <w:rFonts w:hint="eastAsia" w:ascii="宋体" w:hAnsi="宋体" w:eastAsia="宋体" w:cs="宋体"/>
                <w:kern w:val="0"/>
                <w:sz w:val="24"/>
                <w:szCs w:val="24"/>
                <w:lang w:val="en-US" w:eastAsia="zh-CN" w:bidi="ar"/>
              </w:rPr>
              <w:t>4</w:t>
            </w:r>
            <w:r>
              <w:rPr>
                <w:rFonts w:ascii="宋体" w:hAnsi="宋体" w:eastAsia="宋体" w:cs="宋体"/>
                <w:kern w:val="0"/>
                <w:sz w:val="24"/>
                <w:szCs w:val="24"/>
                <w:lang w:val="en-US" w:eastAsia="zh-CN" w:bidi="ar"/>
              </w:rPr>
              <w:t xml:space="preserve"> 分，每符合一项得 </w:t>
            </w:r>
            <w:r>
              <w:rPr>
                <w:rFonts w:hint="eastAsia" w:ascii="宋体" w:hAnsi="宋体" w:eastAsia="宋体" w:cs="宋体"/>
                <w:kern w:val="0"/>
                <w:sz w:val="24"/>
                <w:szCs w:val="24"/>
                <w:lang w:val="en-US" w:eastAsia="zh-CN" w:bidi="ar"/>
              </w:rPr>
              <w:t>2</w:t>
            </w:r>
            <w:r>
              <w:rPr>
                <w:rFonts w:ascii="宋体" w:hAnsi="宋体" w:eastAsia="宋体" w:cs="宋体"/>
                <w:kern w:val="0"/>
                <w:sz w:val="24"/>
                <w:szCs w:val="24"/>
                <w:lang w:val="en-US" w:eastAsia="zh-CN" w:bidi="ar"/>
              </w:rPr>
              <w:t>分，不符合不得分。应急措施方案包含但不限于：①针对突发检测增量、产品质量异常、冷链运输故障等场景制定完整的应急事件处理解决方案；②具备完善的应急备货、紧急调货、快速补发的应急处置能力。</w:t>
            </w:r>
          </w:p>
          <w:p w14:paraId="5B0480DF">
            <w:pPr>
              <w:keepNext w:val="0"/>
              <w:keepLines w:val="0"/>
              <w:widowControl/>
              <w:numPr>
                <w:ilvl w:val="0"/>
                <w:numId w:val="2"/>
              </w:numPr>
              <w:suppressLineNumbers w:val="0"/>
              <w:jc w:val="left"/>
              <w:rPr>
                <w:sz w:val="24"/>
                <w:szCs w:val="24"/>
              </w:rPr>
            </w:pPr>
            <w:r>
              <w:rPr>
                <w:rFonts w:ascii="宋体" w:hAnsi="宋体" w:eastAsia="宋体" w:cs="宋体"/>
                <w:kern w:val="0"/>
                <w:sz w:val="24"/>
                <w:szCs w:val="24"/>
                <w:lang w:val="en-US" w:eastAsia="zh-CN" w:bidi="ar"/>
              </w:rPr>
              <w:t xml:space="preserve">产品综合评价：本项共 </w:t>
            </w:r>
            <w:r>
              <w:rPr>
                <w:rFonts w:hint="eastAsia" w:ascii="宋体" w:hAnsi="宋体" w:eastAsia="宋体" w:cs="宋体"/>
                <w:kern w:val="0"/>
                <w:sz w:val="24"/>
                <w:szCs w:val="24"/>
                <w:lang w:val="en-US" w:eastAsia="zh-CN" w:bidi="ar"/>
              </w:rPr>
              <w:t>4</w:t>
            </w:r>
            <w:r>
              <w:rPr>
                <w:rFonts w:ascii="宋体" w:hAnsi="宋体" w:eastAsia="宋体" w:cs="宋体"/>
                <w:kern w:val="0"/>
                <w:sz w:val="24"/>
                <w:szCs w:val="24"/>
                <w:lang w:val="en-US" w:eastAsia="zh-CN" w:bidi="ar"/>
              </w:rPr>
              <w:t xml:space="preserve">分，每符合一项得 </w:t>
            </w:r>
            <w:r>
              <w:rPr>
                <w:rFonts w:hint="eastAsia" w:ascii="宋体" w:hAnsi="宋体" w:eastAsia="宋体" w:cs="宋体"/>
                <w:kern w:val="0"/>
                <w:sz w:val="24"/>
                <w:szCs w:val="24"/>
                <w:lang w:val="en-US" w:eastAsia="zh-CN" w:bidi="ar"/>
              </w:rPr>
              <w:t>2</w:t>
            </w:r>
            <w:r>
              <w:rPr>
                <w:rFonts w:ascii="宋体" w:hAnsi="宋体" w:eastAsia="宋体" w:cs="宋体"/>
                <w:kern w:val="0"/>
                <w:sz w:val="24"/>
                <w:szCs w:val="24"/>
                <w:lang w:val="en-US" w:eastAsia="zh-CN" w:bidi="ar"/>
              </w:rPr>
              <w:t>分，不符合不得分。产品综合评价包含但不限于：①投标试剂产品市场认可度高、应用案例丰富；②可提供同品牌产品在疾控系统的应用证明、用户反馈材料。</w:t>
            </w:r>
          </w:p>
          <w:p w14:paraId="11554A0C">
            <w:pPr>
              <w:keepNext w:val="0"/>
              <w:keepLines w:val="0"/>
              <w:widowControl/>
              <w:numPr>
                <w:ilvl w:val="0"/>
                <w:numId w:val="2"/>
              </w:numPr>
              <w:suppressLineNumbers w:val="0"/>
              <w:jc w:val="left"/>
              <w:rPr>
                <w:sz w:val="24"/>
                <w:szCs w:val="24"/>
              </w:rPr>
            </w:pPr>
            <w:r>
              <w:rPr>
                <w:rFonts w:ascii="宋体" w:hAnsi="宋体" w:eastAsia="宋体" w:cs="宋体"/>
                <w:kern w:val="0"/>
                <w:sz w:val="24"/>
                <w:szCs w:val="24"/>
                <w:lang w:val="en-US" w:eastAsia="zh-CN" w:bidi="ar"/>
              </w:rPr>
              <w:t xml:space="preserve">售后服务方案：本项共 </w:t>
            </w:r>
            <w:r>
              <w:rPr>
                <w:rFonts w:hint="eastAsia" w:ascii="宋体" w:hAnsi="宋体" w:eastAsia="宋体" w:cs="宋体"/>
                <w:kern w:val="0"/>
                <w:sz w:val="24"/>
                <w:szCs w:val="24"/>
                <w:lang w:val="en-US" w:eastAsia="zh-CN" w:bidi="ar"/>
              </w:rPr>
              <w:t>6</w:t>
            </w:r>
            <w:r>
              <w:rPr>
                <w:rFonts w:ascii="宋体" w:hAnsi="宋体" w:eastAsia="宋体" w:cs="宋体"/>
                <w:kern w:val="0"/>
                <w:sz w:val="24"/>
                <w:szCs w:val="24"/>
                <w:lang w:val="en-US" w:eastAsia="zh-CN" w:bidi="ar"/>
              </w:rPr>
              <w:t xml:space="preserve">分，每符合一项得 </w:t>
            </w:r>
            <w:r>
              <w:rPr>
                <w:rFonts w:hint="eastAsia" w:ascii="宋体" w:hAnsi="宋体" w:eastAsia="宋体" w:cs="宋体"/>
                <w:kern w:val="0"/>
                <w:sz w:val="24"/>
                <w:szCs w:val="24"/>
                <w:lang w:val="en-US" w:eastAsia="zh-CN" w:bidi="ar"/>
              </w:rPr>
              <w:t>2</w:t>
            </w:r>
            <w:r>
              <w:rPr>
                <w:rFonts w:ascii="宋体" w:hAnsi="宋体" w:eastAsia="宋体" w:cs="宋体"/>
                <w:kern w:val="0"/>
                <w:sz w:val="24"/>
                <w:szCs w:val="24"/>
                <w:lang w:val="en-US" w:eastAsia="zh-CN" w:bidi="ar"/>
              </w:rPr>
              <w:t xml:space="preserve"> 分，不符合不得分。售后服务方案包含但不限于：①售后服务人员职责分工明确，设置专属对接人；②针对客户提出的售后问题，承诺 2 小时内响应，24 小时内到场 / 出具解决方案；③可提供免费的技术培训</w:t>
            </w:r>
            <w:r>
              <w:rPr>
                <w:rFonts w:hint="eastAsia" w:ascii="宋体" w:hAnsi="宋体" w:eastAsia="宋体" w:cs="宋体"/>
                <w:kern w:val="0"/>
                <w:sz w:val="24"/>
                <w:szCs w:val="24"/>
                <w:lang w:val="en-US" w:eastAsia="zh-CN" w:bidi="ar"/>
              </w:rPr>
              <w:t>、</w:t>
            </w:r>
            <w:r>
              <w:rPr>
                <w:rFonts w:ascii="宋体" w:hAnsi="宋体" w:eastAsia="宋体" w:cs="宋体"/>
                <w:kern w:val="0"/>
                <w:sz w:val="24"/>
                <w:szCs w:val="24"/>
                <w:lang w:val="en-US" w:eastAsia="zh-CN" w:bidi="ar"/>
              </w:rPr>
              <w:t>使用指导服务。</w:t>
            </w:r>
          </w:p>
        </w:tc>
        <w:tc>
          <w:tcPr>
            <w:tcW w:w="0" w:type="auto"/>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69E6F8AD">
            <w:pPr>
              <w:keepNext w:val="0"/>
              <w:keepLines w:val="0"/>
              <w:widowControl/>
              <w:suppressLineNumbers w:val="0"/>
              <w:jc w:val="left"/>
              <w:rPr>
                <w:rFonts w:hint="default"/>
                <w:sz w:val="24"/>
                <w:szCs w:val="24"/>
                <w:lang w:val="en-US"/>
              </w:rPr>
            </w:pPr>
            <w:r>
              <w:rPr>
                <w:rFonts w:hint="eastAsia" w:ascii="宋体" w:hAnsi="宋体" w:eastAsia="宋体" w:cs="宋体"/>
                <w:kern w:val="0"/>
                <w:sz w:val="24"/>
                <w:szCs w:val="24"/>
                <w:lang w:val="en-US" w:eastAsia="zh-CN" w:bidi="ar"/>
              </w:rPr>
              <w:t>20</w:t>
            </w:r>
          </w:p>
        </w:tc>
      </w:tr>
      <w:tr w14:paraId="3DB1A1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0" w:type="auto"/>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72D77ADE">
            <w:pPr>
              <w:jc w:val="left"/>
              <w:rPr>
                <w:rFonts w:hint="eastAsia" w:ascii="宋体"/>
                <w:sz w:val="24"/>
                <w:szCs w:val="24"/>
              </w:rPr>
            </w:pPr>
          </w:p>
        </w:tc>
        <w:tc>
          <w:tcPr>
            <w:tcW w:w="0" w:type="auto"/>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7A684F11">
            <w:pPr>
              <w:keepNext w:val="0"/>
              <w:keepLines w:val="0"/>
              <w:widowControl/>
              <w:suppressLineNumbers w:val="0"/>
              <w:jc w:val="left"/>
              <w:rPr>
                <w:sz w:val="24"/>
                <w:szCs w:val="24"/>
              </w:rPr>
            </w:pPr>
            <w:r>
              <w:rPr>
                <w:rFonts w:ascii="宋体" w:hAnsi="宋体" w:eastAsia="宋体" w:cs="宋体"/>
                <w:kern w:val="0"/>
                <w:sz w:val="24"/>
                <w:szCs w:val="24"/>
                <w:lang w:val="en-US" w:eastAsia="zh-CN" w:bidi="ar"/>
              </w:rPr>
              <w:t>产品质量和服务保障能力</w:t>
            </w:r>
          </w:p>
        </w:tc>
        <w:tc>
          <w:tcPr>
            <w:tcW w:w="0" w:type="auto"/>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7C06507D">
            <w:pPr>
              <w:keepNext w:val="0"/>
              <w:keepLines w:val="0"/>
              <w:widowControl/>
              <w:suppressLineNumbers w:val="0"/>
              <w:jc w:val="left"/>
              <w:rPr>
                <w:sz w:val="24"/>
                <w:szCs w:val="24"/>
              </w:rPr>
            </w:pPr>
            <w:r>
              <w:rPr>
                <w:rFonts w:ascii="宋体" w:hAnsi="宋体" w:eastAsia="宋体" w:cs="宋体"/>
                <w:kern w:val="0"/>
                <w:sz w:val="24"/>
                <w:szCs w:val="24"/>
                <w:lang w:val="en-US" w:eastAsia="zh-CN" w:bidi="ar"/>
              </w:rPr>
              <w:t>投标人拟为本项目提供不少于 2 名专属售后及技术支持人员，其中至少 1 人具备检验技</w:t>
            </w:r>
            <w:r>
              <w:rPr>
                <w:rFonts w:hint="eastAsia" w:ascii="宋体" w:hAnsi="宋体" w:eastAsia="宋体" w:cs="宋体"/>
                <w:kern w:val="0"/>
                <w:sz w:val="24"/>
                <w:szCs w:val="24"/>
                <w:lang w:val="en-US" w:eastAsia="zh-CN" w:bidi="ar"/>
              </w:rPr>
              <w:t>士</w:t>
            </w:r>
            <w:r>
              <w:rPr>
                <w:rFonts w:ascii="宋体" w:hAnsi="宋体" w:eastAsia="宋体" w:cs="宋体"/>
                <w:kern w:val="0"/>
                <w:sz w:val="24"/>
                <w:szCs w:val="24"/>
                <w:lang w:val="en-US" w:eastAsia="zh-CN" w:bidi="ar"/>
              </w:rPr>
              <w:t xml:space="preserve">及以上职称的，得 </w:t>
            </w:r>
            <w:r>
              <w:rPr>
                <w:rFonts w:hint="eastAsia" w:ascii="宋体" w:hAnsi="宋体" w:eastAsia="宋体" w:cs="宋体"/>
                <w:kern w:val="0"/>
                <w:sz w:val="24"/>
                <w:szCs w:val="24"/>
                <w:lang w:val="en-US" w:eastAsia="zh-CN" w:bidi="ar"/>
              </w:rPr>
              <w:t>4</w:t>
            </w:r>
            <w:r>
              <w:rPr>
                <w:rFonts w:ascii="宋体" w:hAnsi="宋体" w:eastAsia="宋体" w:cs="宋体"/>
                <w:kern w:val="0"/>
                <w:sz w:val="24"/>
                <w:szCs w:val="24"/>
                <w:lang w:val="en-US" w:eastAsia="zh-CN" w:bidi="ar"/>
              </w:rPr>
              <w:t xml:space="preserve"> 分。注：投标文件中须提供下列证明：（1）工作人员检验职称证书扫描件；（2）上述人员须同时提供投标人为其缴纳的近 6 个月内（任意 1 个月）的社保证明材料（加盖公章），缺任意一项材料不得分。</w:t>
            </w:r>
          </w:p>
        </w:tc>
        <w:tc>
          <w:tcPr>
            <w:tcW w:w="0" w:type="auto"/>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18622C01">
            <w:pPr>
              <w:keepNext w:val="0"/>
              <w:keepLines w:val="0"/>
              <w:widowControl/>
              <w:suppressLineNumbers w:val="0"/>
              <w:jc w:val="left"/>
              <w:rPr>
                <w:rFonts w:hint="eastAsia" w:eastAsiaTheme="minorEastAsia"/>
                <w:sz w:val="24"/>
                <w:szCs w:val="24"/>
                <w:lang w:val="en-US" w:eastAsia="zh-CN"/>
              </w:rPr>
            </w:pPr>
            <w:r>
              <w:rPr>
                <w:rFonts w:hint="eastAsia"/>
                <w:sz w:val="24"/>
                <w:szCs w:val="24"/>
                <w:lang w:val="en-US" w:eastAsia="zh-CN"/>
              </w:rPr>
              <w:t>4</w:t>
            </w:r>
          </w:p>
        </w:tc>
      </w:tr>
      <w:tr w14:paraId="44D125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0" w:type="auto"/>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02A59157">
            <w:pPr>
              <w:jc w:val="left"/>
              <w:rPr>
                <w:rFonts w:hint="eastAsia" w:ascii="宋体"/>
                <w:sz w:val="24"/>
                <w:szCs w:val="24"/>
              </w:rPr>
            </w:pPr>
          </w:p>
        </w:tc>
        <w:tc>
          <w:tcPr>
            <w:tcW w:w="0" w:type="auto"/>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19109F01">
            <w:pPr>
              <w:keepNext w:val="0"/>
              <w:keepLines w:val="0"/>
              <w:widowControl/>
              <w:suppressLineNumbers w:val="0"/>
              <w:jc w:val="left"/>
              <w:rPr>
                <w:sz w:val="24"/>
                <w:szCs w:val="24"/>
              </w:rPr>
            </w:pPr>
            <w:r>
              <w:rPr>
                <w:rFonts w:ascii="宋体" w:hAnsi="宋体" w:eastAsia="宋体" w:cs="宋体"/>
                <w:kern w:val="0"/>
                <w:sz w:val="24"/>
                <w:szCs w:val="24"/>
                <w:lang w:val="en-US" w:eastAsia="zh-CN" w:bidi="ar"/>
              </w:rPr>
              <w:t>投标人仓储与冷链保障实力</w:t>
            </w:r>
          </w:p>
        </w:tc>
        <w:tc>
          <w:tcPr>
            <w:tcW w:w="0" w:type="auto"/>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08E3E73F">
            <w:pPr>
              <w:keepNext w:val="0"/>
              <w:keepLines w:val="0"/>
              <w:widowControl/>
              <w:numPr>
                <w:ilvl w:val="0"/>
                <w:numId w:val="3"/>
              </w:numPr>
              <w:suppressLineNumbers w:val="0"/>
              <w:jc w:val="left"/>
              <w:rPr>
                <w:sz w:val="24"/>
                <w:szCs w:val="24"/>
              </w:rPr>
            </w:pPr>
            <w:r>
              <w:rPr>
                <w:rFonts w:ascii="宋体" w:hAnsi="宋体" w:eastAsia="宋体" w:cs="宋体"/>
                <w:kern w:val="0"/>
                <w:sz w:val="24"/>
                <w:szCs w:val="24"/>
                <w:lang w:val="en-US" w:eastAsia="zh-CN" w:bidi="ar"/>
              </w:rPr>
              <w:t>投标人具有符合试剂贮存要求的场地、仓库等贮存技术条件的，最高得 4 分。①设有</w:t>
            </w:r>
            <w:r>
              <w:rPr>
                <w:rFonts w:hint="eastAsia" w:ascii="宋体" w:hAnsi="宋体" w:eastAsia="宋体" w:cs="宋体"/>
                <w:kern w:val="0"/>
                <w:sz w:val="24"/>
                <w:szCs w:val="24"/>
                <w:lang w:val="en-US" w:eastAsia="zh-CN" w:bidi="ar"/>
              </w:rPr>
              <w:t>该项目产品</w:t>
            </w:r>
            <w:r>
              <w:rPr>
                <w:rFonts w:ascii="宋体" w:hAnsi="宋体" w:eastAsia="宋体" w:cs="宋体"/>
                <w:kern w:val="0"/>
                <w:sz w:val="24"/>
                <w:szCs w:val="24"/>
                <w:lang w:val="en-US" w:eastAsia="zh-CN" w:bidi="ar"/>
              </w:rPr>
              <w:t>专用温湿度监控、防潮设施的，得 2 分；②设有 2-8℃冷藏贮存库房</w:t>
            </w:r>
            <w:r>
              <w:rPr>
                <w:rFonts w:hint="eastAsia" w:ascii="宋体" w:hAnsi="宋体" w:eastAsia="宋体" w:cs="宋体"/>
                <w:kern w:val="0"/>
                <w:sz w:val="24"/>
                <w:szCs w:val="24"/>
                <w:lang w:val="en-US" w:eastAsia="zh-CN" w:bidi="ar"/>
              </w:rPr>
              <w:t>/</w:t>
            </w:r>
            <w:r>
              <w:rPr>
                <w:rFonts w:ascii="宋体" w:hAnsi="宋体" w:eastAsia="宋体" w:cs="宋体"/>
                <w:kern w:val="0"/>
                <w:sz w:val="24"/>
                <w:szCs w:val="24"/>
                <w:lang w:val="en-US" w:eastAsia="zh-CN" w:bidi="ar"/>
              </w:rPr>
              <w:t>冷库，配备不间断温控监测、异常报警设备的，得 2 分。注：（1）如为自有，投标文件中提供购置合同或购置发票扫描件、现场实物照片及温湿度管控操作规程照片；（2）如为租赁，投标文件中提供租赁合同、现场实物照片及温湿度管控操作规程照片，缺任意材料不得分。</w:t>
            </w:r>
          </w:p>
          <w:p w14:paraId="66D6FCFB">
            <w:pPr>
              <w:keepNext w:val="0"/>
              <w:keepLines w:val="0"/>
              <w:widowControl/>
              <w:numPr>
                <w:ilvl w:val="0"/>
                <w:numId w:val="3"/>
              </w:numPr>
              <w:suppressLineNumbers w:val="0"/>
              <w:jc w:val="left"/>
              <w:rPr>
                <w:sz w:val="24"/>
                <w:szCs w:val="24"/>
              </w:rPr>
            </w:pPr>
            <w:r>
              <w:rPr>
                <w:rFonts w:ascii="宋体" w:hAnsi="宋体" w:eastAsia="宋体" w:cs="宋体"/>
                <w:kern w:val="0"/>
                <w:sz w:val="24"/>
                <w:szCs w:val="24"/>
                <w:lang w:val="en-US" w:eastAsia="zh-CN" w:bidi="ar"/>
              </w:rPr>
              <w:t xml:space="preserve">投标人具备合规冷链运输条件，得 </w:t>
            </w:r>
            <w:r>
              <w:rPr>
                <w:rFonts w:hint="eastAsia" w:ascii="宋体" w:hAnsi="宋体" w:eastAsia="宋体" w:cs="宋体"/>
                <w:kern w:val="0"/>
                <w:sz w:val="24"/>
                <w:szCs w:val="24"/>
                <w:lang w:val="en-US" w:eastAsia="zh-CN" w:bidi="ar"/>
              </w:rPr>
              <w:t>6</w:t>
            </w:r>
            <w:r>
              <w:rPr>
                <w:rFonts w:ascii="宋体" w:hAnsi="宋体" w:eastAsia="宋体" w:cs="宋体"/>
                <w:kern w:val="0"/>
                <w:sz w:val="24"/>
                <w:szCs w:val="24"/>
                <w:lang w:val="en-US" w:eastAsia="zh-CN" w:bidi="ar"/>
              </w:rPr>
              <w:t>分。注：冷链运输条件系指匹配</w:t>
            </w:r>
            <w:r>
              <w:rPr>
                <w:rFonts w:hint="eastAsia" w:ascii="宋体" w:hAnsi="宋体" w:eastAsia="宋体" w:cs="宋体"/>
                <w:kern w:val="0"/>
                <w:sz w:val="24"/>
                <w:szCs w:val="24"/>
                <w:lang w:val="en-US" w:eastAsia="zh-CN" w:bidi="ar"/>
              </w:rPr>
              <w:t>项目产品</w:t>
            </w:r>
            <w:r>
              <w:rPr>
                <w:rFonts w:ascii="宋体" w:hAnsi="宋体" w:eastAsia="宋体" w:cs="宋体"/>
                <w:kern w:val="0"/>
                <w:sz w:val="24"/>
                <w:szCs w:val="24"/>
                <w:lang w:val="en-US" w:eastAsia="zh-CN" w:bidi="ar"/>
              </w:rPr>
              <w:t>运输需求的冷链设备（如医用冷藏箱、冷链箱），配套全程温控监测、可追溯设备。投标文件中同时提供冷链运输设备采购发票或合同，及冷链设备照片、温控追溯能力证明材料扫描件，缺任意材料不得分。</w:t>
            </w:r>
          </w:p>
        </w:tc>
        <w:tc>
          <w:tcPr>
            <w:tcW w:w="0" w:type="auto"/>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05F0B046">
            <w:pPr>
              <w:keepNext w:val="0"/>
              <w:keepLines w:val="0"/>
              <w:widowControl/>
              <w:suppressLineNumbers w:val="0"/>
              <w:jc w:val="left"/>
              <w:rPr>
                <w:rFonts w:hint="default"/>
                <w:sz w:val="24"/>
                <w:szCs w:val="24"/>
                <w:lang w:val="en-US"/>
              </w:rPr>
            </w:pPr>
            <w:r>
              <w:rPr>
                <w:rFonts w:hint="eastAsia" w:ascii="宋体" w:hAnsi="宋体" w:eastAsia="宋体" w:cs="宋体"/>
                <w:kern w:val="0"/>
                <w:sz w:val="24"/>
                <w:szCs w:val="24"/>
                <w:lang w:val="en-US" w:eastAsia="zh-CN" w:bidi="ar"/>
              </w:rPr>
              <w:t>10</w:t>
            </w:r>
          </w:p>
        </w:tc>
      </w:tr>
      <w:tr w14:paraId="4A8984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0" w:type="auto"/>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79575517">
            <w:pPr>
              <w:jc w:val="left"/>
              <w:rPr>
                <w:rFonts w:hint="eastAsia" w:ascii="宋体"/>
                <w:sz w:val="24"/>
                <w:szCs w:val="24"/>
              </w:rPr>
            </w:pPr>
          </w:p>
        </w:tc>
        <w:tc>
          <w:tcPr>
            <w:tcW w:w="0" w:type="auto"/>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3591155A">
            <w:pPr>
              <w:keepNext w:val="0"/>
              <w:keepLines w:val="0"/>
              <w:widowControl/>
              <w:suppressLineNumbers w:val="0"/>
              <w:jc w:val="left"/>
              <w:rPr>
                <w:sz w:val="24"/>
                <w:szCs w:val="24"/>
              </w:rPr>
            </w:pPr>
            <w:r>
              <w:rPr>
                <w:rFonts w:ascii="宋体" w:hAnsi="宋体" w:eastAsia="宋体" w:cs="宋体"/>
                <w:kern w:val="0"/>
                <w:sz w:val="24"/>
                <w:szCs w:val="24"/>
                <w:lang w:val="en-US" w:eastAsia="zh-CN" w:bidi="ar"/>
              </w:rPr>
              <w:t>同类项目业绩</w:t>
            </w:r>
          </w:p>
        </w:tc>
        <w:tc>
          <w:tcPr>
            <w:tcW w:w="0" w:type="auto"/>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1A0E009C">
            <w:pPr>
              <w:keepNext w:val="0"/>
              <w:keepLines w:val="0"/>
              <w:widowControl/>
              <w:suppressLineNumbers w:val="0"/>
              <w:jc w:val="left"/>
              <w:rPr>
                <w:sz w:val="24"/>
                <w:szCs w:val="24"/>
              </w:rPr>
            </w:pPr>
            <w:r>
              <w:rPr>
                <w:rFonts w:ascii="宋体" w:hAnsi="宋体" w:eastAsia="宋体" w:cs="宋体"/>
                <w:kern w:val="0"/>
                <w:sz w:val="24"/>
                <w:szCs w:val="24"/>
                <w:lang w:val="en-US" w:eastAsia="zh-CN" w:bidi="ar"/>
              </w:rPr>
              <w:t>自 202</w:t>
            </w:r>
            <w:r>
              <w:rPr>
                <w:rFonts w:hint="eastAsia" w:ascii="宋体" w:hAnsi="宋体" w:eastAsia="宋体" w:cs="宋体"/>
                <w:kern w:val="0"/>
                <w:sz w:val="24"/>
                <w:szCs w:val="24"/>
                <w:lang w:val="en-US" w:eastAsia="zh-CN" w:bidi="ar"/>
              </w:rPr>
              <w:t>3</w:t>
            </w:r>
            <w:r>
              <w:rPr>
                <w:rFonts w:ascii="宋体" w:hAnsi="宋体" w:eastAsia="宋体" w:cs="宋体"/>
                <w:kern w:val="0"/>
                <w:sz w:val="24"/>
                <w:szCs w:val="24"/>
                <w:lang w:val="en-US" w:eastAsia="zh-CN" w:bidi="ar"/>
              </w:rPr>
              <w:t>年 1 月 1 日以来（以合同签订时间为准），投标人具有所投产品</w:t>
            </w:r>
            <w:r>
              <w:rPr>
                <w:rFonts w:hint="eastAsia" w:ascii="宋体" w:hAnsi="宋体" w:eastAsia="宋体" w:cs="宋体"/>
                <w:kern w:val="0"/>
                <w:sz w:val="24"/>
                <w:szCs w:val="24"/>
                <w:lang w:val="en-US" w:eastAsia="zh-CN" w:bidi="ar"/>
              </w:rPr>
              <w:t>的</w:t>
            </w:r>
            <w:r>
              <w:rPr>
                <w:rFonts w:ascii="宋体" w:hAnsi="宋体" w:eastAsia="宋体" w:cs="宋体"/>
                <w:kern w:val="0"/>
                <w:sz w:val="24"/>
                <w:szCs w:val="24"/>
                <w:lang w:val="en-US" w:eastAsia="zh-CN" w:bidi="ar"/>
              </w:rPr>
              <w:t>供货业绩，最终用户为各级疾病预防控制中心、检验检测机构的，</w:t>
            </w:r>
            <w:r>
              <w:rPr>
                <w:rFonts w:ascii="宋体" w:hAnsi="宋体" w:eastAsia="宋体" w:cs="宋体"/>
                <w:color w:val="FF0000"/>
                <w:kern w:val="0"/>
                <w:sz w:val="24"/>
                <w:szCs w:val="24"/>
                <w:lang w:val="en-US" w:eastAsia="zh-CN" w:bidi="ar"/>
              </w:rPr>
              <w:t xml:space="preserve">每提供一个有效业绩得 </w:t>
            </w:r>
            <w:r>
              <w:rPr>
                <w:rFonts w:hint="eastAsia" w:ascii="宋体" w:hAnsi="宋体" w:eastAsia="宋体" w:cs="宋体"/>
                <w:color w:val="FF0000"/>
                <w:kern w:val="0"/>
                <w:sz w:val="24"/>
                <w:szCs w:val="24"/>
                <w:lang w:val="en-US" w:eastAsia="zh-CN" w:bidi="ar"/>
              </w:rPr>
              <w:t>3</w:t>
            </w:r>
            <w:r>
              <w:rPr>
                <w:rFonts w:ascii="宋体" w:hAnsi="宋体" w:eastAsia="宋体" w:cs="宋体"/>
                <w:color w:val="FF0000"/>
                <w:kern w:val="0"/>
                <w:sz w:val="24"/>
                <w:szCs w:val="24"/>
                <w:lang w:val="en-US" w:eastAsia="zh-CN" w:bidi="ar"/>
              </w:rPr>
              <w:t>分，满分 6 分。</w:t>
            </w:r>
            <w:r>
              <w:rPr>
                <w:rFonts w:ascii="宋体" w:hAnsi="宋体" w:eastAsia="宋体" w:cs="宋体"/>
                <w:color w:val="auto"/>
                <w:kern w:val="0"/>
                <w:sz w:val="24"/>
                <w:szCs w:val="24"/>
                <w:lang w:val="en-US" w:eastAsia="zh-CN" w:bidi="ar"/>
              </w:rPr>
              <w:t>注：1. 此处</w:t>
            </w:r>
            <w:r>
              <w:rPr>
                <w:rFonts w:ascii="宋体" w:hAnsi="宋体" w:eastAsia="宋体" w:cs="宋体"/>
                <w:kern w:val="0"/>
                <w:sz w:val="24"/>
                <w:szCs w:val="24"/>
                <w:lang w:val="en-US" w:eastAsia="zh-CN" w:bidi="ar"/>
              </w:rPr>
              <w:t>业绩系指</w:t>
            </w:r>
            <w:r>
              <w:rPr>
                <w:rFonts w:hint="eastAsia" w:ascii="宋体" w:hAnsi="宋体" w:eastAsia="宋体" w:cs="宋体"/>
                <w:kern w:val="0"/>
                <w:sz w:val="24"/>
                <w:szCs w:val="24"/>
                <w:lang w:val="en-US" w:eastAsia="zh-CN" w:bidi="ar"/>
              </w:rPr>
              <w:t>任一标</w:t>
            </w:r>
            <w:r>
              <w:rPr>
                <w:rFonts w:ascii="宋体" w:hAnsi="宋体" w:eastAsia="宋体" w:cs="宋体"/>
                <w:kern w:val="0"/>
                <w:sz w:val="24"/>
                <w:szCs w:val="24"/>
                <w:lang w:val="en-US" w:eastAsia="zh-CN" w:bidi="ar"/>
              </w:rPr>
              <w:t>“●”产品业绩，须为投标产品的最终用户单位的合同，中间贸易商的合同不能作为有效业绩，如同一业绩包含多个符合要求的产品，仅计分 1 次。2. 投标文件中须提供合同关键页扫描件，如合同中无法体现签订时间、产品品牌、最终用户等相关信息的，须同时另附加盖业主印章的相关证明材料扫描件，否则不得分。</w:t>
            </w:r>
          </w:p>
        </w:tc>
        <w:tc>
          <w:tcPr>
            <w:tcW w:w="0" w:type="auto"/>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22E26D32">
            <w:pPr>
              <w:keepNext w:val="0"/>
              <w:keepLines w:val="0"/>
              <w:widowControl/>
              <w:suppressLineNumbers w:val="0"/>
              <w:jc w:val="left"/>
              <w:rPr>
                <w:sz w:val="24"/>
                <w:szCs w:val="24"/>
              </w:rPr>
            </w:pPr>
            <w:r>
              <w:rPr>
                <w:rFonts w:ascii="宋体" w:hAnsi="宋体" w:eastAsia="宋体" w:cs="宋体"/>
                <w:kern w:val="0"/>
                <w:sz w:val="24"/>
                <w:szCs w:val="24"/>
                <w:lang w:val="en-US" w:eastAsia="zh-CN" w:bidi="ar"/>
              </w:rPr>
              <w:t>6</w:t>
            </w:r>
          </w:p>
        </w:tc>
      </w:tr>
      <w:tr w14:paraId="52D8A5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0" w:type="auto"/>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64BFAF46">
            <w:pPr>
              <w:keepNext w:val="0"/>
              <w:keepLines w:val="0"/>
              <w:widowControl/>
              <w:suppressLineNumbers w:val="0"/>
              <w:jc w:val="left"/>
              <w:rPr>
                <w:sz w:val="24"/>
                <w:szCs w:val="24"/>
              </w:rPr>
            </w:pPr>
            <w:r>
              <w:rPr>
                <w:rStyle w:val="11"/>
                <w:rFonts w:ascii="宋体" w:hAnsi="宋体" w:eastAsia="宋体" w:cs="宋体"/>
                <w:kern w:val="0"/>
                <w:sz w:val="24"/>
                <w:szCs w:val="24"/>
                <w:lang w:val="en-US" w:eastAsia="zh-CN" w:bidi="ar"/>
              </w:rPr>
              <w:t>价格分（30 分）</w:t>
            </w:r>
          </w:p>
        </w:tc>
        <w:tc>
          <w:tcPr>
            <w:tcW w:w="0" w:type="auto"/>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64738613">
            <w:pPr>
              <w:keepNext w:val="0"/>
              <w:keepLines w:val="0"/>
              <w:widowControl/>
              <w:suppressLineNumbers w:val="0"/>
              <w:jc w:val="left"/>
              <w:rPr>
                <w:sz w:val="24"/>
                <w:szCs w:val="24"/>
              </w:rPr>
            </w:pPr>
            <w:r>
              <w:rPr>
                <w:rFonts w:ascii="宋体" w:hAnsi="宋体" w:eastAsia="宋体" w:cs="宋体"/>
                <w:kern w:val="0"/>
                <w:sz w:val="24"/>
                <w:szCs w:val="24"/>
                <w:lang w:val="en-US" w:eastAsia="zh-CN" w:bidi="ar"/>
              </w:rPr>
              <w:t>投标报价</w:t>
            </w:r>
          </w:p>
        </w:tc>
        <w:tc>
          <w:tcPr>
            <w:tcW w:w="0" w:type="auto"/>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4389F55E">
            <w:pPr>
              <w:keepNext w:val="0"/>
              <w:keepLines w:val="0"/>
              <w:widowControl/>
              <w:suppressLineNumbers w:val="0"/>
              <w:jc w:val="left"/>
              <w:rPr>
                <w:sz w:val="24"/>
                <w:szCs w:val="24"/>
              </w:rPr>
            </w:pPr>
            <w:r>
              <w:rPr>
                <w:rFonts w:ascii="宋体" w:hAnsi="宋体" w:eastAsia="宋体" w:cs="宋体"/>
                <w:kern w:val="0"/>
                <w:sz w:val="24"/>
                <w:szCs w:val="24"/>
                <w:lang w:val="en-US" w:eastAsia="zh-CN" w:bidi="ar"/>
              </w:rPr>
              <w:t>价格分统一采用低价优先法，即满足招标文件要求且投标价格最低的有效投标报价为评标基准价，其价格分为满分 30 分。其他投标人的价格分统一按照下列公式计算：</w:t>
            </w:r>
            <w:r>
              <w:rPr>
                <w:rStyle w:val="11"/>
                <w:rFonts w:ascii="宋体" w:hAnsi="宋体" w:eastAsia="宋体" w:cs="宋体"/>
                <w:kern w:val="0"/>
                <w:sz w:val="24"/>
                <w:szCs w:val="24"/>
                <w:lang w:val="en-US" w:eastAsia="zh-CN" w:bidi="ar"/>
              </w:rPr>
              <w:t>投标报价得分＝（评标基准价 / 投标报价）×30％×100</w:t>
            </w:r>
            <w:r>
              <w:rPr>
                <w:rFonts w:ascii="宋体" w:hAnsi="宋体" w:eastAsia="宋体" w:cs="宋体"/>
                <w:kern w:val="0"/>
                <w:sz w:val="24"/>
                <w:szCs w:val="24"/>
                <w:lang w:val="en-US" w:eastAsia="zh-CN" w:bidi="ar"/>
              </w:rPr>
              <w:t>注：投标报价低于成本价，且经评标委员会评审认定可能影响产品质量或不能诚信履约的，按无效投标处理，不进入价格分计算范围；投标报价超出采购预算的，按无效投标处理。</w:t>
            </w:r>
          </w:p>
        </w:tc>
        <w:tc>
          <w:tcPr>
            <w:tcW w:w="0" w:type="auto"/>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38F31193">
            <w:pPr>
              <w:keepNext w:val="0"/>
              <w:keepLines w:val="0"/>
              <w:widowControl/>
              <w:suppressLineNumbers w:val="0"/>
              <w:jc w:val="left"/>
              <w:rPr>
                <w:sz w:val="24"/>
                <w:szCs w:val="24"/>
              </w:rPr>
            </w:pPr>
            <w:r>
              <w:rPr>
                <w:rFonts w:ascii="宋体" w:hAnsi="宋体" w:eastAsia="宋体" w:cs="宋体"/>
                <w:kern w:val="0"/>
                <w:sz w:val="24"/>
                <w:szCs w:val="24"/>
                <w:lang w:val="en-US" w:eastAsia="zh-CN" w:bidi="ar"/>
              </w:rPr>
              <w:t>30</w:t>
            </w:r>
          </w:p>
        </w:tc>
      </w:tr>
    </w:tbl>
    <w:p w14:paraId="3A4C07C4">
      <w:pPr>
        <w:ind w:right="-4" w:rightChars="-2"/>
        <w:rPr>
          <w:rFonts w:ascii="宋体" w:hAnsi="宋体" w:cs="宋体"/>
          <w:b/>
          <w:sz w:val="24"/>
          <w:szCs w:val="24"/>
        </w:rPr>
      </w:pPr>
      <w:r>
        <w:rPr>
          <w:rFonts w:hint="eastAsia" w:ascii="宋体" w:hAnsi="宋体" w:cs="宋体"/>
          <w:b/>
          <w:sz w:val="24"/>
          <w:szCs w:val="24"/>
        </w:rPr>
        <w:t>注：</w:t>
      </w:r>
      <w:r>
        <w:rPr>
          <w:rFonts w:hint="eastAsia" w:ascii="宋体" w:hAnsi="宋体" w:cs="宋体"/>
          <w:sz w:val="24"/>
          <w:szCs w:val="24"/>
        </w:rPr>
        <w:t>所要求提供的相关证明文件，供应商应按文件规定格式制作</w:t>
      </w:r>
      <w:r>
        <w:rPr>
          <w:rFonts w:hint="eastAsia" w:ascii="宋体" w:hAnsi="宋体" w:cs="宋体"/>
          <w:b/>
          <w:sz w:val="24"/>
          <w:szCs w:val="24"/>
        </w:rPr>
        <w:t>。</w:t>
      </w:r>
    </w:p>
    <w:p w14:paraId="19CD6828">
      <w:pPr>
        <w:autoSpaceDE w:val="0"/>
        <w:autoSpaceDN w:val="0"/>
        <w:adjustRightInd w:val="0"/>
        <w:spacing w:line="550" w:lineRule="exact"/>
        <w:ind w:right="-4" w:rightChars="-2" w:firstLine="2202" w:firstLineChars="500"/>
        <w:rPr>
          <w:rStyle w:val="11"/>
          <w:rFonts w:ascii="华文中宋" w:hAnsi="华文中宋" w:eastAsia="华文中宋" w:cs="华文中宋"/>
          <w:kern w:val="0"/>
          <w:sz w:val="44"/>
          <w:szCs w:val="44"/>
        </w:rPr>
        <w:sectPr>
          <w:headerReference r:id="rId3" w:type="default"/>
          <w:footerReference r:id="rId4" w:type="default"/>
          <w:pgSz w:w="11906" w:h="16838"/>
          <w:pgMar w:top="1440" w:right="1800" w:bottom="1440" w:left="1800" w:header="851" w:footer="992" w:gutter="0"/>
          <w:cols w:space="720" w:num="1"/>
          <w:docGrid w:type="lines" w:linePitch="312" w:charSpace="0"/>
        </w:sectPr>
      </w:pPr>
    </w:p>
    <w:p w14:paraId="7F09C770">
      <w:pPr>
        <w:autoSpaceDE w:val="0"/>
        <w:autoSpaceDN w:val="0"/>
        <w:adjustRightInd w:val="0"/>
        <w:spacing w:line="540" w:lineRule="atLeast"/>
        <w:ind w:firstLine="462" w:firstLineChars="200"/>
        <w:jc w:val="left"/>
        <w:rPr>
          <w:rFonts w:ascii="宋体" w:hAnsi="Arial" w:cs="宋体"/>
          <w:b/>
          <w:kern w:val="0"/>
          <w:sz w:val="23"/>
          <w:szCs w:val="23"/>
          <w:lang w:val="zh-CN"/>
        </w:rPr>
      </w:pPr>
    </w:p>
    <w:p w14:paraId="52BC3A48">
      <w:pPr>
        <w:pStyle w:val="2"/>
        <w:keepNext w:val="0"/>
        <w:keepLines w:val="0"/>
        <w:spacing w:line="550" w:lineRule="exact"/>
        <w:jc w:val="center"/>
        <w:rPr>
          <w:rFonts w:ascii="宋体" w:hAnsi="宋体"/>
        </w:rPr>
      </w:pPr>
      <w:bookmarkStart w:id="3" w:name="_Toc530055231"/>
      <w:bookmarkStart w:id="4" w:name="_Toc234027886"/>
      <w:bookmarkStart w:id="5" w:name="_Toc271813725"/>
      <w:bookmarkStart w:id="6" w:name="_Toc1577134158"/>
      <w:bookmarkStart w:id="7" w:name="_Toc154085843"/>
      <w:bookmarkStart w:id="8" w:name="_Toc18796"/>
      <w:r>
        <w:rPr>
          <w:rFonts w:hint="eastAsia" w:ascii="宋体" w:hAnsi="宋体"/>
          <w:b w:val="0"/>
          <w:szCs w:val="44"/>
        </w:rPr>
        <w:t xml:space="preserve">第五章  </w:t>
      </w:r>
      <w:bookmarkEnd w:id="3"/>
      <w:bookmarkEnd w:id="4"/>
      <w:bookmarkEnd w:id="5"/>
      <w:r>
        <w:rPr>
          <w:rFonts w:hint="eastAsia" w:ascii="宋体" w:hAnsi="宋体"/>
          <w:b w:val="0"/>
          <w:szCs w:val="44"/>
        </w:rPr>
        <w:t>合同</w:t>
      </w:r>
    </w:p>
    <w:p w14:paraId="64211DAB">
      <w:pPr>
        <w:jc w:val="left"/>
        <w:rPr>
          <w:b/>
          <w:sz w:val="10"/>
          <w:szCs w:val="10"/>
        </w:rPr>
      </w:pPr>
      <w:bookmarkStart w:id="9" w:name="_Toc329851834"/>
      <w:bookmarkStart w:id="10" w:name="_Toc246997083"/>
      <w:bookmarkStart w:id="11" w:name="_Toc152042554"/>
      <w:bookmarkStart w:id="12" w:name="_Toc246996340"/>
      <w:bookmarkStart w:id="13" w:name="_Toc152045772"/>
      <w:bookmarkStart w:id="14" w:name="_Toc144974834"/>
      <w:bookmarkStart w:id="15" w:name="_Toc247085855"/>
      <w:bookmarkStart w:id="16" w:name="_Toc179632789"/>
    </w:p>
    <w:p w14:paraId="430D5C9A">
      <w:pPr>
        <w:ind w:firstLine="640" w:firstLineChars="200"/>
        <w:jc w:val="left"/>
        <w:rPr>
          <w:rFonts w:hint="eastAsia" w:ascii="仿宋_GB2312" w:hAnsi="仿宋_GB2312" w:eastAsia="仿宋_GB2312" w:cs="仿宋_GB2312"/>
          <w:color w:val="C00000"/>
          <w:sz w:val="32"/>
          <w:szCs w:val="32"/>
          <w:lang w:val="en-US" w:eastAsia="zh-CN"/>
        </w:rPr>
      </w:pPr>
      <w:r>
        <w:rPr>
          <w:rFonts w:hint="eastAsia" w:ascii="仿宋_GB2312" w:hAnsi="仿宋_GB2312" w:eastAsia="仿宋_GB2312" w:cs="仿宋_GB2312"/>
          <w:color w:val="C00000"/>
          <w:sz w:val="32"/>
          <w:szCs w:val="32"/>
          <w:lang w:val="en-US" w:eastAsia="zh-CN"/>
        </w:rPr>
        <w:t>核心条款：</w:t>
      </w:r>
    </w:p>
    <w:p w14:paraId="6E5B9FAD">
      <w:pPr>
        <w:ind w:firstLine="640" w:firstLineChars="200"/>
        <w:jc w:val="left"/>
        <w:rPr>
          <w:rFonts w:hint="eastAsia" w:ascii="仿宋_GB2312" w:hAnsi="仿宋_GB2312" w:eastAsia="仿宋_GB2312" w:cs="仿宋_GB2312"/>
          <w:color w:val="C00000"/>
          <w:sz w:val="32"/>
          <w:szCs w:val="32"/>
          <w:lang w:val="en-US" w:eastAsia="zh-CN"/>
        </w:rPr>
      </w:pPr>
      <w:r>
        <w:rPr>
          <w:rFonts w:hint="eastAsia" w:ascii="仿宋_GB2312" w:hAnsi="仿宋_GB2312" w:eastAsia="仿宋_GB2312" w:cs="仿宋_GB2312"/>
          <w:color w:val="C00000"/>
          <w:sz w:val="32"/>
          <w:szCs w:val="32"/>
          <w:lang w:val="en-US" w:eastAsia="zh-CN"/>
        </w:rPr>
        <w:t>共性部分：中标方单项货物报价超市场价（其它2家公司报价的平均价）50%或以上的，采购方有权通过其它途径采购。</w:t>
      </w:r>
    </w:p>
    <w:p w14:paraId="7602C1CD">
      <w:pPr>
        <w:jc w:val="left"/>
        <w:rPr>
          <w:rFonts w:hint="eastAsia" w:ascii="仿宋_GB2312" w:hAnsi="仿宋_GB2312" w:eastAsia="仿宋_GB2312" w:cs="仿宋_GB2312"/>
          <w:color w:val="C00000"/>
          <w:sz w:val="32"/>
          <w:szCs w:val="32"/>
          <w:lang w:val="en-US" w:eastAsia="zh-CN"/>
        </w:rPr>
      </w:pPr>
    </w:p>
    <w:p w14:paraId="0C893CAD">
      <w:pPr>
        <w:ind w:firstLine="640" w:firstLineChars="200"/>
        <w:jc w:val="left"/>
        <w:rPr>
          <w:rFonts w:hint="eastAsia" w:ascii="仿宋_GB2312" w:hAnsi="仿宋_GB2312" w:eastAsia="仿宋_GB2312" w:cs="仿宋_GB2312"/>
          <w:color w:val="C00000"/>
          <w:sz w:val="32"/>
          <w:szCs w:val="32"/>
          <w:lang w:val="en-US" w:eastAsia="zh-CN"/>
        </w:rPr>
      </w:pPr>
      <w:r>
        <w:rPr>
          <w:rFonts w:hint="eastAsia" w:ascii="仿宋_GB2312" w:hAnsi="仿宋_GB2312" w:eastAsia="仿宋_GB2312" w:cs="仿宋_GB2312"/>
          <w:color w:val="C00000"/>
          <w:sz w:val="32"/>
          <w:szCs w:val="32"/>
          <w:lang w:val="en-US" w:eastAsia="zh-CN"/>
        </w:rPr>
        <w:t>理化检测项目：实验用气气瓶等需人工搬运（无电梯）配送至指定地点（检验检测楼三楼）并完成安装、调试及检漏工作，供气正常，现场验收合格，配送人员方可离开安装现场。</w:t>
      </w:r>
    </w:p>
    <w:p w14:paraId="6AEDD84E">
      <w:pPr>
        <w:jc w:val="left"/>
        <w:rPr>
          <w:rFonts w:ascii="宋体" w:hAnsi="宋体"/>
          <w:b/>
          <w:bCs/>
          <w:w w:val="90"/>
          <w:sz w:val="48"/>
          <w:szCs w:val="48"/>
        </w:rPr>
      </w:pPr>
    </w:p>
    <w:p w14:paraId="02D94E1E">
      <w:pPr>
        <w:jc w:val="left"/>
        <w:rPr>
          <w:rFonts w:ascii="宋体" w:hAnsi="宋体"/>
          <w:b/>
          <w:bCs/>
          <w:w w:val="90"/>
          <w:sz w:val="48"/>
          <w:szCs w:val="48"/>
        </w:rPr>
      </w:pPr>
    </w:p>
    <w:p w14:paraId="401D2C3A">
      <w:pPr>
        <w:jc w:val="left"/>
        <w:rPr>
          <w:rFonts w:hint="eastAsia" w:ascii="宋体" w:hAnsi="宋体" w:eastAsia="宋体"/>
          <w:b/>
          <w:bCs/>
          <w:w w:val="90"/>
          <w:sz w:val="48"/>
          <w:szCs w:val="48"/>
          <w:lang w:val="en-US" w:eastAsia="zh-CN"/>
        </w:rPr>
      </w:pPr>
      <w:r>
        <w:rPr>
          <w:rFonts w:hint="eastAsia" w:ascii="宋体" w:hAnsi="宋体"/>
          <w:b/>
          <w:bCs/>
          <w:w w:val="90"/>
          <w:sz w:val="48"/>
          <w:szCs w:val="48"/>
          <w:lang w:val="en-US" w:eastAsia="zh-CN"/>
        </w:rPr>
        <w:t>备注：理化检测项目中“本混合试剂由多种单一试剂组合构成且核定成套总价；采购时如仅选购部分组分，费用按各组分分摊后的平均单价分别计收。”</w:t>
      </w:r>
      <w:bookmarkStart w:id="17" w:name="_GoBack"/>
      <w:bookmarkEnd w:id="17"/>
    </w:p>
    <w:p w14:paraId="7DE6E381">
      <w:pPr>
        <w:jc w:val="left"/>
        <w:rPr>
          <w:rFonts w:ascii="宋体" w:hAnsi="宋体"/>
          <w:b/>
          <w:bCs/>
          <w:w w:val="90"/>
          <w:sz w:val="48"/>
          <w:szCs w:val="48"/>
        </w:rPr>
      </w:pPr>
    </w:p>
    <w:bookmarkEnd w:id="6"/>
    <w:bookmarkEnd w:id="7"/>
    <w:bookmarkEnd w:id="8"/>
    <w:bookmarkEnd w:id="9"/>
    <w:bookmarkEnd w:id="10"/>
    <w:bookmarkEnd w:id="11"/>
    <w:bookmarkEnd w:id="12"/>
    <w:bookmarkEnd w:id="13"/>
    <w:bookmarkEnd w:id="14"/>
    <w:bookmarkEnd w:id="15"/>
    <w:bookmarkEnd w:id="16"/>
    <w:p w14:paraId="26A5809A">
      <w:pPr>
        <w:rPr>
          <w:rFonts w:ascii="宋体" w:hAnsi="宋体" w:cs="宋体"/>
          <w:b/>
          <w:bCs/>
          <w:sz w:val="44"/>
          <w:szCs w:val="44"/>
        </w:rPr>
      </w:pPr>
    </w:p>
    <w:sectPr>
      <w:footerReference r:id="rId5" w:type="default"/>
      <w:pgSz w:w="11906" w:h="16838"/>
      <w:pgMar w:top="1440" w:right="1800" w:bottom="1440" w:left="1800" w:header="1134" w:footer="1134" w:gutter="0"/>
      <w:pgBorders>
        <w:bottom w:val="single" w:color="auto" w:sz="4" w:space="1"/>
      </w:pgBorders>
      <w:pgNumType w:fmt="numberInDash"/>
      <w:cols w:space="720" w:num="1"/>
      <w:docGrid w:type="lines" w:linePitch="33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Segoe UI">
    <w:panose1 w:val="020B0502040204020203"/>
    <w:charset w:val="00"/>
    <w:family w:val="swiss"/>
    <w:pitch w:val="default"/>
    <w:sig w:usb0="E4002EFF" w:usb1="C000E47F"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DA295B">
    <w:pPr>
      <w:spacing w:line="14" w:lineRule="auto"/>
      <w:rPr>
        <w:rFonts w:ascii="Arial"/>
        <w:sz w:val="2"/>
      </w:rPr>
    </w:pPr>
    <w:r>
      <w:rPr>
        <w:sz w:val="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5F28E9">
                          <w:pPr>
                            <w:pStyle w:val="5"/>
                          </w:pPr>
                          <w:r>
                            <w:fldChar w:fldCharType="begin"/>
                          </w:r>
                          <w:r>
                            <w:instrText xml:space="preserve"> PAGE  \* MERGEFORMAT </w:instrText>
                          </w:r>
                          <w:r>
                            <w:fldChar w:fldCharType="separate"/>
                          </w:r>
                          <w:r>
                            <w:t>27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6B5F28E9">
                    <w:pPr>
                      <w:pStyle w:val="5"/>
                    </w:pPr>
                    <w:r>
                      <w:fldChar w:fldCharType="begin"/>
                    </w:r>
                    <w:r>
                      <w:instrText xml:space="preserve"> PAGE  \* MERGEFORMAT </w:instrText>
                    </w:r>
                    <w:r>
                      <w:fldChar w:fldCharType="separate"/>
                    </w:r>
                    <w:r>
                      <w:t>27</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24FF5">
    <w:pPr>
      <w:pStyle w:val="5"/>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D87C6C">
                          <w:pPr>
                            <w:pStyle w:val="5"/>
                          </w:pPr>
                          <w:r>
                            <w:fldChar w:fldCharType="begin"/>
                          </w:r>
                          <w:r>
                            <w:instrText xml:space="preserve"> PAGE  \* MERGEFORMAT </w:instrText>
                          </w:r>
                          <w:r>
                            <w:fldChar w:fldCharType="separate"/>
                          </w:r>
                          <w:r>
                            <w:t>- 40 -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14:paraId="0DD87C6C">
                    <w:pPr>
                      <w:pStyle w:val="5"/>
                    </w:pPr>
                    <w:r>
                      <w:fldChar w:fldCharType="begin"/>
                    </w:r>
                    <w:r>
                      <w:instrText xml:space="preserve"> PAGE  \* MERGEFORMAT </w:instrText>
                    </w:r>
                    <w:r>
                      <w:fldChar w:fldCharType="separate"/>
                    </w:r>
                    <w:r>
                      <w:t>- 40 -</w:t>
                    </w:r>
                    <w:r>
                      <w:fldChar w:fldCharType="end"/>
                    </w:r>
                  </w:p>
                </w:txbxContent>
              </v:textbox>
            </v:shape>
          </w:pict>
        </mc:Fallback>
      </mc:AlternateContent>
    </w:r>
    <w:r>
      <w:rPr>
        <w:rFonts w:ascii="Times New Roman" w:hAnsi="Times New Roman" w:eastAsia="Times New Roman"/>
        <w:color w:val="000000"/>
        <w:szCs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矩形 1"/>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a:effectLst/>
                    </wps:spPr>
                    <wps:txbx>
                      <w:txbxContent>
                        <w:p w14:paraId="66B307EE">
                          <w:pPr>
                            <w:pStyle w:val="5"/>
                          </w:pPr>
                        </w:p>
                      </w:txbxContent>
                    </wps:txbx>
                    <wps:bodyPr wrap="none" lIns="0" tIns="0" rIns="0" bIns="0" upright="1">
                      <a:spAutoFit/>
                    </wps:bodyPr>
                  </wps:wsp>
                </a:graphicData>
              </a:graphic>
            </wp:anchor>
          </w:drawing>
        </mc:Choice>
        <mc:Fallback>
          <w:pict>
            <v:rect id="_x0000_s1026"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uXW5UtAAAAAFAQAADwAAAAAAAAABACAAAAAiAAAAZHJzL2Rvd25yZXYueG1sUEsB&#10;AhQAFAAAAAgAh07iQE1kTcHEAQAAmgMAAA4AAAAAAAAAAQAgAAAAHwEAAGRycy9lMm9Eb2MueG1s&#10;UEsFBgAAAAAGAAYAWQEAAFUFAAAAAA==&#10;">
              <v:fill on="f" focussize="0,0"/>
              <v:stroke on="f"/>
              <v:imagedata o:title=""/>
              <o:lock v:ext="edit" aspectratio="f"/>
              <v:textbox inset="0mm,0mm,0mm,0mm" style="mso-fit-shape-to-text:t;">
                <w:txbxContent>
                  <w:p w14:paraId="66B307EE">
                    <w:pPr>
                      <w:pStyle w:val="5"/>
                    </w:pP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369D2B">
    <w:pPr>
      <w:pStyle w:val="6"/>
      <w:jc w:val="both"/>
    </w:pPr>
    <w:r>
      <w:rPr>
        <w:rFonts w:hint="eastAsia" w:ascii="Arial" w:hAnsi="Arial" w:eastAsia="黑体" w:cs="Arial"/>
        <w:i/>
        <w:sz w:val="21"/>
        <w:szCs w:val="21"/>
      </w:rPr>
      <w:t>竞争性磋商文件-货物类</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91F688"/>
    <w:multiLevelType w:val="singleLevel"/>
    <w:tmpl w:val="C391F688"/>
    <w:lvl w:ilvl="0" w:tentative="0">
      <w:start w:val="2"/>
      <w:numFmt w:val="decimal"/>
      <w:lvlText w:val="%1."/>
      <w:lvlJc w:val="left"/>
      <w:pPr>
        <w:tabs>
          <w:tab w:val="left" w:pos="312"/>
        </w:tabs>
      </w:pPr>
    </w:lvl>
  </w:abstractNum>
  <w:abstractNum w:abstractNumId="1">
    <w:nsid w:val="33B7545B"/>
    <w:multiLevelType w:val="singleLevel"/>
    <w:tmpl w:val="33B7545B"/>
    <w:lvl w:ilvl="0" w:tentative="0">
      <w:start w:val="1"/>
      <w:numFmt w:val="decimal"/>
      <w:suff w:val="nothing"/>
      <w:lvlText w:val="%1．"/>
      <w:lvlJc w:val="left"/>
    </w:lvl>
  </w:abstractNum>
  <w:abstractNum w:abstractNumId="2">
    <w:nsid w:val="48365B9E"/>
    <w:multiLevelType w:val="singleLevel"/>
    <w:tmpl w:val="48365B9E"/>
    <w:lvl w:ilvl="0" w:tentative="0">
      <w:start w:val="1"/>
      <w:numFmt w:val="decimal"/>
      <w:suff w:val="space"/>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4065D0"/>
    <w:rsid w:val="069D291E"/>
    <w:rsid w:val="314065D0"/>
    <w:rsid w:val="51883D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paragraph" w:styleId="3">
    <w:name w:val="heading 2"/>
    <w:basedOn w:val="1"/>
    <w:next w:val="1"/>
    <w:qFormat/>
    <w:uiPriority w:val="0"/>
    <w:pPr>
      <w:keepNext/>
      <w:keepLines/>
      <w:spacing w:before="260" w:after="260" w:line="413" w:lineRule="auto"/>
      <w:outlineLvl w:val="1"/>
    </w:pPr>
    <w:rPr>
      <w:rFonts w:ascii="Arial" w:hAnsi="Arial" w:eastAsia="黑体"/>
      <w:b/>
      <w:bCs/>
      <w:sz w:val="32"/>
      <w:szCs w:val="32"/>
    </w:rPr>
  </w:style>
  <w:style w:type="character" w:default="1" w:styleId="10">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0"/>
    <w:pPr>
      <w:jc w:val="left"/>
    </w:pPr>
    <w:rPr>
      <w:rFonts w:ascii="Arial" w:hAnsi="Arial" w:eastAsia="黑体"/>
      <w:b/>
      <w:sz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toc 1"/>
    <w:basedOn w:val="1"/>
    <w:next w:val="1"/>
    <w:qFormat/>
    <w:uiPriority w:val="0"/>
  </w:style>
  <w:style w:type="paragraph" w:styleId="8">
    <w:name w:val="Normal (Web)"/>
    <w:basedOn w:val="1"/>
    <w:qFormat/>
    <w:uiPriority w:val="0"/>
    <w:pPr>
      <w:spacing w:beforeAutospacing="1" w:afterAutospacing="1"/>
      <w:jc w:val="left"/>
    </w:pPr>
    <w:rPr>
      <w:kern w:val="0"/>
      <w:sz w:val="24"/>
    </w:rPr>
  </w:style>
  <w:style w:type="character" w:styleId="11">
    <w:name w:val="Strong"/>
    <w:basedOn w:val="10"/>
    <w:qFormat/>
    <w:uiPriority w:val="0"/>
    <w:rPr>
      <w:b/>
      <w:bCs/>
    </w:rPr>
  </w:style>
  <w:style w:type="paragraph" w:customStyle="1" w:styleId="12">
    <w:name w:val="普通(网站)1"/>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3">
    <w:name w:val="日期11"/>
    <w:basedOn w:val="1"/>
    <w:next w:val="1"/>
    <w:qFormat/>
    <w:uiPriority w:val="0"/>
    <w:rPr>
      <w:rFonts w:ascii="仿宋_GB2312" w:eastAsia="仿宋_GB2312"/>
      <w:sz w:val="30"/>
    </w:rPr>
  </w:style>
  <w:style w:type="paragraph" w:customStyle="1" w:styleId="14">
    <w:name w:val="日期12"/>
    <w:basedOn w:val="1"/>
    <w:next w:val="1"/>
    <w:qFormat/>
    <w:uiPriority w:val="0"/>
    <w:rPr>
      <w:rFonts w:ascii="仿宋_GB2312" w:eastAsia="仿宋_GB2312"/>
      <w:sz w:val="30"/>
    </w:rPr>
  </w:style>
  <w:style w:type="paragraph" w:customStyle="1" w:styleId="15">
    <w:name w:val="正文首行缩进 21"/>
    <w:basedOn w:val="16"/>
    <w:qFormat/>
    <w:uiPriority w:val="0"/>
    <w:pPr>
      <w:ind w:firstLine="420" w:firstLineChars="200"/>
    </w:pPr>
  </w:style>
  <w:style w:type="paragraph" w:customStyle="1" w:styleId="16">
    <w:name w:val="正文文本缩进1"/>
    <w:basedOn w:val="1"/>
    <w:next w:val="17"/>
    <w:qFormat/>
    <w:uiPriority w:val="0"/>
    <w:pPr>
      <w:spacing w:after="120"/>
      <w:ind w:left="420" w:leftChars="200"/>
    </w:pPr>
  </w:style>
  <w:style w:type="paragraph" w:customStyle="1" w:styleId="17">
    <w:name w:val="寄信人地址1"/>
    <w:basedOn w:val="1"/>
    <w:qFormat/>
    <w:uiPriority w:val="0"/>
    <w:pPr>
      <w:snapToGrid w:val="0"/>
    </w:pPr>
    <w:rPr>
      <w:rFonts w:ascii="Arial" w:hAnsi="Arial"/>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9">
    <w:name w:val="【正文】"/>
    <w:basedOn w:val="1"/>
    <w:qFormat/>
    <w:uiPriority w:val="0"/>
    <w:pPr>
      <w:spacing w:line="360" w:lineRule="auto"/>
      <w:ind w:firstLine="480" w:firstLineChars="200"/>
    </w:pPr>
    <w:rPr>
      <w:kern w:val="0"/>
      <w:sz w:val="24"/>
    </w:rPr>
  </w:style>
  <w:style w:type="paragraph" w:customStyle="1" w:styleId="20">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styleId="21">
    <w:name w:val="List Paragraph"/>
    <w:basedOn w:val="1"/>
    <w:qFormat/>
    <w:uiPriority w:val="0"/>
    <w:pPr>
      <w:widowControl/>
      <w:ind w:firstLine="420" w:firstLineChars="200"/>
      <w:jc w:val="left"/>
    </w:pPr>
    <w:rPr>
      <w:rFonts w:ascii="宋体" w:hAnsi="宋体" w:cs="宋体"/>
      <w:kern w:val="0"/>
      <w:sz w:val="24"/>
      <w:szCs w:val="24"/>
    </w:rPr>
  </w:style>
  <w:style w:type="paragraph" w:customStyle="1" w:styleId="22">
    <w:name w:val="D&amp;L"/>
    <w:basedOn w:val="6"/>
    <w:qFormat/>
    <w:uiPriority w:val="0"/>
    <w:pPr>
      <w:pBdr>
        <w:bottom w:val="thinThickSmallGap" w:color="auto" w:sz="18" w:space="1"/>
      </w:pBdr>
      <w:adjustRightInd w:val="0"/>
      <w:snapToGrid/>
      <w:spacing w:line="240" w:lineRule="atLeast"/>
    </w:pPr>
    <w:rPr>
      <w:rFonts w:ascii="Times New Roman" w:hAnsi="Times New Roman"/>
      <w:kern w:val="0"/>
      <w:sz w:val="24"/>
      <w:szCs w:val="20"/>
    </w:rPr>
  </w:style>
  <w:style w:type="paragraph" w:customStyle="1" w:styleId="23">
    <w:name w:val="索引 111"/>
    <w:basedOn w:val="1"/>
    <w:next w:val="1"/>
    <w:qFormat/>
    <w:uiPriority w:val="0"/>
    <w:rPr>
      <w:rFonts w:eastAsia="仿宋_GB2312"/>
      <w:b/>
      <w:sz w:val="24"/>
    </w:rPr>
  </w:style>
  <w:style w:type="paragraph" w:customStyle="1" w:styleId="24">
    <w:name w:val="纯文本11"/>
    <w:basedOn w:val="1"/>
    <w:qFormat/>
    <w:uiPriority w:val="0"/>
    <w:pPr>
      <w:widowControl/>
      <w:jc w:val="left"/>
    </w:pPr>
    <w:rPr>
      <w:rFonts w:ascii="宋体" w:hAnsi="Courier New" w:cs="宋体"/>
      <w:kern w:val="0"/>
      <w:sz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2974</Words>
  <Characters>3050</Characters>
  <Lines>0</Lines>
  <Paragraphs>0</Paragraphs>
  <TotalTime>8</TotalTime>
  <ScaleCrop>false</ScaleCrop>
  <LinksUpToDate>false</LinksUpToDate>
  <CharactersWithSpaces>3112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2026-06-23T06:59:00Z</dcterms:created>
  <dc:creator>再谈今生</dc:creator>
  <cp:lastModifiedBy>NTKO</cp:lastModifiedBy>
  <dcterms:modified xsi:type="dcterms:W3CDTF">2026-06-29T00:38:38Z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88998F7DDD2041F384C39712AAA0D206_11</vt:lpwstr>
  </property>
  <property fmtid="{D5CDD505-2E9C-101B-9397-08002B2CF9AE}" pid="4" name="KSOTemplateDocerSaveRecord">
    <vt:lpwstr>eyJoZGlkIjoiMDFhODRmOGU0MDczMTg4MDM4YjgxM2Q4ZjM5MjRmODIiLCJ1c2VySWQiOiI4MDk2OTg1NjQifQ==</vt:lpwstr>
  </property>
</Properties>
</file>